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D8EE" w14:textId="77777777" w:rsidR="008F1912" w:rsidRDefault="008F1912">
      <w:pPr>
        <w:pStyle w:val="Default"/>
      </w:pPr>
    </w:p>
    <w:p w14:paraId="68FAF10F" w14:textId="77777777" w:rsidR="0084720A" w:rsidRPr="00F8482A" w:rsidRDefault="009E0D0B" w:rsidP="0084720A">
      <w:pPr>
        <w:pBdr>
          <w:bottom w:val="single" w:sz="6" w:space="1" w:color="auto"/>
        </w:pBdr>
        <w:rPr>
          <w:rFonts w:ascii="Calibri" w:hAnsi="Calibri" w:cs="Calibri"/>
          <w:sz w:val="24"/>
          <w:szCs w:val="24"/>
          <w:lang w:val="en-CA"/>
        </w:rPr>
      </w:pPr>
      <w:r w:rsidRPr="00F8482A">
        <w:rPr>
          <w:lang w:val="en-CA"/>
        </w:rPr>
        <w:t xml:space="preserve"> </w:t>
      </w:r>
      <w:r w:rsidRPr="00F8482A">
        <w:rPr>
          <w:sz w:val="23"/>
          <w:szCs w:val="23"/>
          <w:lang w:val="en-CA"/>
        </w:rPr>
        <w:t xml:space="preserve"> </w:t>
      </w:r>
    </w:p>
    <w:p w14:paraId="7DFEBB0A" w14:textId="41395D14" w:rsidR="009E0D0B" w:rsidRPr="007B6418" w:rsidRDefault="00D05F7B" w:rsidP="00A550C7">
      <w:pPr>
        <w:pStyle w:val="Default"/>
        <w:spacing w:before="20"/>
        <w:jc w:val="center"/>
        <w:rPr>
          <w:rFonts w:ascii="Aptos" w:hAnsi="Aptos"/>
          <w:b/>
          <w:bCs/>
          <w:sz w:val="20"/>
          <w:szCs w:val="20"/>
          <w:lang w:val="en-CA"/>
        </w:rPr>
      </w:pPr>
      <w:r>
        <w:rPr>
          <w:rFonts w:ascii="Aptos" w:hAnsi="Aptos"/>
          <w:b/>
          <w:bCs/>
          <w:sz w:val="20"/>
          <w:szCs w:val="20"/>
          <w:lang w:val="en-CA"/>
        </w:rPr>
        <w:t>Trial Master File Specialist</w:t>
      </w:r>
      <w:r w:rsidR="00291FCD">
        <w:rPr>
          <w:rFonts w:ascii="Aptos" w:hAnsi="Aptos"/>
          <w:b/>
          <w:bCs/>
          <w:sz w:val="20"/>
          <w:szCs w:val="20"/>
          <w:lang w:val="en-CA"/>
        </w:rPr>
        <w:t xml:space="preserve"> – Phase I to IV</w:t>
      </w:r>
    </w:p>
    <w:p w14:paraId="305A72BC" w14:textId="77777777" w:rsidR="009508E1" w:rsidRPr="007B6418" w:rsidRDefault="009508E1" w:rsidP="00A550C7">
      <w:pPr>
        <w:pStyle w:val="Default"/>
        <w:spacing w:before="20"/>
        <w:jc w:val="center"/>
        <w:rPr>
          <w:rFonts w:ascii="Aptos" w:hAnsi="Aptos"/>
          <w:sz w:val="20"/>
          <w:szCs w:val="20"/>
          <w:lang w:val="en-CA"/>
        </w:rPr>
      </w:pPr>
      <w:r w:rsidRPr="007B6418">
        <w:rPr>
          <w:rFonts w:ascii="Aptos" w:hAnsi="Aptos"/>
          <w:sz w:val="20"/>
          <w:szCs w:val="20"/>
          <w:lang w:val="en-CA"/>
        </w:rPr>
        <w:t>Position open only to Canadian citizen\resident or with Canadian work permit</w:t>
      </w:r>
    </w:p>
    <w:p w14:paraId="56A3F315" w14:textId="732BC79C" w:rsidR="0084720A" w:rsidRPr="007B6418" w:rsidRDefault="009508E1" w:rsidP="0084720A">
      <w:pPr>
        <w:pStyle w:val="Default"/>
        <w:spacing w:before="20"/>
        <w:jc w:val="center"/>
        <w:rPr>
          <w:rFonts w:ascii="Aptos" w:hAnsi="Aptos"/>
          <w:sz w:val="20"/>
          <w:szCs w:val="20"/>
          <w:lang w:val="en-CA"/>
        </w:rPr>
      </w:pPr>
      <w:r w:rsidRPr="007B6418">
        <w:rPr>
          <w:rFonts w:ascii="Aptos" w:hAnsi="Aptos"/>
          <w:sz w:val="20"/>
          <w:szCs w:val="20"/>
          <w:lang w:val="en-CA"/>
        </w:rPr>
        <w:t>Full Time</w:t>
      </w:r>
    </w:p>
    <w:p w14:paraId="6AB14A36" w14:textId="77777777" w:rsidR="002041F3" w:rsidRPr="007B6418" w:rsidRDefault="00000000">
      <w:pPr>
        <w:pStyle w:val="Default"/>
        <w:rPr>
          <w:rFonts w:ascii="Aptos" w:hAnsi="Aptos"/>
          <w:sz w:val="20"/>
          <w:szCs w:val="20"/>
        </w:rPr>
      </w:pPr>
      <w:r>
        <w:rPr>
          <w:rFonts w:ascii="Aptos" w:hAnsi="Aptos"/>
          <w:sz w:val="20"/>
          <w:szCs w:val="20"/>
        </w:rPr>
        <w:pict w14:anchorId="04E66CDE">
          <v:rect id="_x0000_i1025" style="width:0;height:1.5pt" o:hralign="center" o:hrstd="t" o:hr="t" fillcolor="#a0a0a0" stroked="f"/>
        </w:pict>
      </w:r>
    </w:p>
    <w:p w14:paraId="0FC53CFD" w14:textId="77777777" w:rsidR="00291FCD" w:rsidRDefault="00291FCD" w:rsidP="00291FCD">
      <w:pPr>
        <w:pStyle w:val="Default"/>
        <w:rPr>
          <w:rFonts w:ascii="Aptos" w:hAnsi="Aptos"/>
          <w:sz w:val="20"/>
          <w:szCs w:val="20"/>
          <w:lang w:val="en-US"/>
        </w:rPr>
      </w:pPr>
      <w:proofErr w:type="spellStart"/>
      <w:r w:rsidRPr="00291FCD">
        <w:rPr>
          <w:rFonts w:ascii="Aptos" w:hAnsi="Aptos"/>
          <w:sz w:val="20"/>
          <w:szCs w:val="20"/>
          <w:lang w:val="en-US"/>
        </w:rPr>
        <w:t>Seriant</w:t>
      </w:r>
      <w:proofErr w:type="spellEnd"/>
      <w:r w:rsidRPr="00291FCD">
        <w:rPr>
          <w:rFonts w:ascii="Aptos" w:hAnsi="Aptos"/>
          <w:sz w:val="20"/>
          <w:szCs w:val="20"/>
          <w:lang w:val="en-US"/>
        </w:rPr>
        <w:t>, a division of the Montreal Heart Institute, is a clinical research organization that provides comprehensive services to the pharmaceutical and biotechnology industries, as well as to the academic community. Based in Montreal, we operate internationally, covering all phases of clinical trials across a wide range of therapeutic areas. With our proven expertise in developing innovative therapies, we make a meaningful impact on people’s lives around the world.</w:t>
      </w:r>
    </w:p>
    <w:p w14:paraId="32FC0F28" w14:textId="77777777" w:rsidR="00291FCD" w:rsidRPr="00291FCD" w:rsidRDefault="00291FCD" w:rsidP="00291FCD">
      <w:pPr>
        <w:pStyle w:val="Default"/>
        <w:rPr>
          <w:rFonts w:ascii="Aptos" w:hAnsi="Aptos"/>
          <w:sz w:val="20"/>
          <w:szCs w:val="20"/>
          <w:lang w:val="en-US"/>
        </w:rPr>
      </w:pPr>
    </w:p>
    <w:p w14:paraId="1CC16831" w14:textId="77777777" w:rsidR="00291FCD" w:rsidRPr="00291FCD" w:rsidRDefault="00291FCD" w:rsidP="00291FCD">
      <w:pPr>
        <w:pStyle w:val="Default"/>
        <w:rPr>
          <w:rFonts w:ascii="Aptos" w:hAnsi="Aptos"/>
          <w:sz w:val="20"/>
          <w:szCs w:val="20"/>
        </w:rPr>
      </w:pPr>
      <w:r w:rsidRPr="00291FCD">
        <w:rPr>
          <w:rFonts w:ascii="Aptos" w:hAnsi="Aptos"/>
          <w:sz w:val="20"/>
          <w:szCs w:val="20"/>
          <w:lang w:val="en-US"/>
        </w:rPr>
        <w:t xml:space="preserve">We believe that great minds change the world. We’re looking for passionate individuals to help manage and support clinical studies that improve healthcare and create lasting impact. Just as we transform lives through research, we enrich the lives of our employees with benefits that truly make a difference. Your contribution matters, your growth is valued, and your impact is real. </w:t>
      </w:r>
      <w:proofErr w:type="spellStart"/>
      <w:r w:rsidRPr="00291FCD">
        <w:rPr>
          <w:rFonts w:ascii="Aptos" w:hAnsi="Aptos"/>
          <w:sz w:val="20"/>
          <w:szCs w:val="20"/>
        </w:rPr>
        <w:t>Join</w:t>
      </w:r>
      <w:proofErr w:type="spellEnd"/>
      <w:r w:rsidRPr="00291FCD">
        <w:rPr>
          <w:rFonts w:ascii="Aptos" w:hAnsi="Aptos"/>
          <w:sz w:val="20"/>
          <w:szCs w:val="20"/>
        </w:rPr>
        <w:t xml:space="preserve"> us and put </w:t>
      </w:r>
      <w:proofErr w:type="spellStart"/>
      <w:r w:rsidRPr="00291FCD">
        <w:rPr>
          <w:rFonts w:ascii="Aptos" w:hAnsi="Aptos"/>
          <w:sz w:val="20"/>
          <w:szCs w:val="20"/>
        </w:rPr>
        <w:t>your</w:t>
      </w:r>
      <w:proofErr w:type="spellEnd"/>
      <w:r w:rsidRPr="00291FCD">
        <w:rPr>
          <w:rFonts w:ascii="Aptos" w:hAnsi="Aptos"/>
          <w:sz w:val="20"/>
          <w:szCs w:val="20"/>
        </w:rPr>
        <w:t xml:space="preserve"> </w:t>
      </w:r>
      <w:proofErr w:type="spellStart"/>
      <w:r w:rsidRPr="00291FCD">
        <w:rPr>
          <w:rFonts w:ascii="Aptos" w:hAnsi="Aptos"/>
          <w:sz w:val="20"/>
          <w:szCs w:val="20"/>
        </w:rPr>
        <w:t>skills</w:t>
      </w:r>
      <w:proofErr w:type="spellEnd"/>
      <w:r w:rsidRPr="00291FCD">
        <w:rPr>
          <w:rFonts w:ascii="Aptos" w:hAnsi="Aptos"/>
          <w:sz w:val="20"/>
          <w:szCs w:val="20"/>
        </w:rPr>
        <w:t xml:space="preserve"> in the spotlight.</w:t>
      </w:r>
    </w:p>
    <w:p w14:paraId="0FAD01FF" w14:textId="77777777" w:rsidR="00B47C2B" w:rsidRPr="007B6418" w:rsidRDefault="00B47C2B">
      <w:pPr>
        <w:pStyle w:val="Default"/>
        <w:rPr>
          <w:rFonts w:ascii="Aptos" w:hAnsi="Aptos"/>
          <w:b/>
          <w:sz w:val="20"/>
          <w:szCs w:val="20"/>
          <w:lang w:val="en-CA"/>
        </w:rPr>
      </w:pPr>
    </w:p>
    <w:p w14:paraId="24D32F45" w14:textId="77777777" w:rsidR="00EA7F32" w:rsidRDefault="009508E1" w:rsidP="00EA7F32">
      <w:pPr>
        <w:pStyle w:val="Default"/>
        <w:jc w:val="both"/>
        <w:rPr>
          <w:rFonts w:ascii="Aptos" w:hAnsi="Aptos"/>
          <w:b/>
          <w:sz w:val="20"/>
          <w:szCs w:val="20"/>
          <w:lang w:val="en-US"/>
        </w:rPr>
      </w:pPr>
      <w:r w:rsidRPr="007B6418">
        <w:rPr>
          <w:rFonts w:ascii="Aptos" w:hAnsi="Aptos"/>
          <w:b/>
          <w:sz w:val="20"/>
          <w:szCs w:val="20"/>
          <w:lang w:val="en-US"/>
        </w:rPr>
        <w:t>RESPONSIBILITIES</w:t>
      </w:r>
    </w:p>
    <w:p w14:paraId="1251971B" w14:textId="77777777" w:rsidR="007B6418" w:rsidRPr="007B6418" w:rsidRDefault="007B6418" w:rsidP="00EA7F32">
      <w:pPr>
        <w:pStyle w:val="Default"/>
        <w:jc w:val="both"/>
        <w:rPr>
          <w:rFonts w:ascii="Aptos" w:hAnsi="Aptos"/>
          <w:b/>
          <w:sz w:val="20"/>
          <w:szCs w:val="20"/>
          <w:lang w:val="en-US"/>
        </w:rPr>
      </w:pPr>
    </w:p>
    <w:p w14:paraId="5BE19982"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Assists the TMF system administrator in managing user access, setting up, maintaining and monitoring filed study documents; </w:t>
      </w:r>
    </w:p>
    <w:p w14:paraId="78CAFE25"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Files documents in designated sections of the TMF, ensuring it is audit and inspection-ready; </w:t>
      </w:r>
    </w:p>
    <w:p w14:paraId="1E84BD3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Participates in the quality control of documents (paper and/or electronic) submitted to the TMF;</w:t>
      </w:r>
    </w:p>
    <w:p w14:paraId="655ABC1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Conducts quality checks of the TMF in accordance with the TMF Project Plan to ensure accuracy, consistency, and quality of documents;</w:t>
      </w:r>
    </w:p>
    <w:p w14:paraId="64EDCC03"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Collaborates closely with cross-functional teams to ensure timely submission and retrieval of critical documents;</w:t>
      </w:r>
    </w:p>
    <w:p w14:paraId="11B8884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Identifies risks related to TMF and ensures compliance with internal and regulatory requirements;</w:t>
      </w:r>
    </w:p>
    <w:p w14:paraId="6F4FCE12"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Manages the resolution of issues related to the TMF and acts as a point of contact for team questions;</w:t>
      </w:r>
    </w:p>
    <w:p w14:paraId="63A18C09"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Collaborates with team members to correct filing errors or missing documents;</w:t>
      </w:r>
    </w:p>
    <w:p w14:paraId="47862D14"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Assists in the transfer of the final TMF to designated parties;</w:t>
      </w:r>
    </w:p>
    <w:p w14:paraId="017C431E"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Educates and supports Team members on TMF responsibilities and mistakes to avoid; </w:t>
      </w:r>
    </w:p>
    <w:p w14:paraId="17278A20"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Oversees the proactive management of clinical documentation, ensuring that all documentation is up-to-date, compliant and easily accessible; </w:t>
      </w:r>
    </w:p>
    <w:p w14:paraId="62EAB84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Participates in the improvement of the TMF's management processes, including development and update of SOPs, guidelines and training materials, as required; </w:t>
      </w:r>
    </w:p>
    <w:p w14:paraId="61AB77A8"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Collaborates with the study team to implement QC initiatives for TMF-related activities;</w:t>
      </w:r>
    </w:p>
    <w:p w14:paraId="0A1A48B1"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Participates in the preparation and conduct of regulatory inspections and audits with respect to clinical documentation and TMF;</w:t>
      </w:r>
    </w:p>
    <w:p w14:paraId="2D636DEB"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Provides progress reports, tracking, and performance metrics (client meetings, presentations);</w:t>
      </w:r>
    </w:p>
    <w:p w14:paraId="5A7C8C03"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Maintains effective communication with internal and external stakeholders;</w:t>
      </w:r>
    </w:p>
    <w:p w14:paraId="77143F68"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 xml:space="preserve">Provides TMF training and support to study team members; </w:t>
      </w:r>
    </w:p>
    <w:p w14:paraId="5ED15D55" w14:textId="77777777" w:rsidR="002346B8" w:rsidRPr="002346B8" w:rsidRDefault="002346B8" w:rsidP="002346B8">
      <w:pPr>
        <w:pStyle w:val="ListParagraph"/>
        <w:numPr>
          <w:ilvl w:val="0"/>
          <w:numId w:val="21"/>
        </w:numPr>
        <w:tabs>
          <w:tab w:val="clear" w:pos="720"/>
          <w:tab w:val="num" w:pos="284"/>
        </w:tabs>
        <w:spacing w:after="0" w:line="240" w:lineRule="auto"/>
        <w:ind w:left="284" w:hanging="284"/>
        <w:jc w:val="both"/>
        <w:rPr>
          <w:rFonts w:ascii="Aptos" w:hAnsi="Aptos" w:cs="Aptos"/>
          <w:sz w:val="20"/>
          <w:szCs w:val="20"/>
          <w:lang w:val="en-CA"/>
        </w:rPr>
      </w:pPr>
      <w:r w:rsidRPr="002346B8">
        <w:rPr>
          <w:rFonts w:ascii="Aptos" w:hAnsi="Aptos" w:cs="Aptos"/>
          <w:sz w:val="20"/>
          <w:szCs w:val="20"/>
          <w:lang w:val="en-CA"/>
        </w:rPr>
        <w:t>Performs other duties as assigned by the Clinical Monitoring and Support Manager.</w:t>
      </w:r>
    </w:p>
    <w:p w14:paraId="20F67D18" w14:textId="77777777" w:rsidR="002346B8" w:rsidRPr="002346B8" w:rsidRDefault="002346B8" w:rsidP="002346B8">
      <w:pPr>
        <w:pStyle w:val="Default"/>
        <w:jc w:val="both"/>
        <w:rPr>
          <w:rFonts w:ascii="Aptos" w:hAnsi="Aptos"/>
          <w:b/>
          <w:bCs/>
          <w:sz w:val="20"/>
          <w:szCs w:val="20"/>
          <w:lang w:val="en-CA"/>
        </w:rPr>
      </w:pPr>
    </w:p>
    <w:p w14:paraId="78F76EE0" w14:textId="77777777" w:rsidR="007B6418" w:rsidRDefault="007B6418" w:rsidP="002041F3">
      <w:pPr>
        <w:pStyle w:val="Default"/>
        <w:jc w:val="both"/>
        <w:rPr>
          <w:rFonts w:ascii="Aptos" w:hAnsi="Aptos"/>
          <w:b/>
          <w:bCs/>
          <w:sz w:val="20"/>
          <w:szCs w:val="20"/>
          <w:lang w:val="en-CA"/>
        </w:rPr>
      </w:pPr>
    </w:p>
    <w:p w14:paraId="39C82EC8" w14:textId="77777777" w:rsidR="00291FCD" w:rsidRDefault="00291FCD" w:rsidP="002041F3">
      <w:pPr>
        <w:pStyle w:val="Default"/>
        <w:jc w:val="both"/>
        <w:rPr>
          <w:rFonts w:ascii="Aptos" w:hAnsi="Aptos"/>
          <w:b/>
          <w:bCs/>
          <w:sz w:val="20"/>
          <w:szCs w:val="20"/>
          <w:lang w:val="en-CA"/>
        </w:rPr>
      </w:pPr>
    </w:p>
    <w:p w14:paraId="4FDC77B8" w14:textId="77777777" w:rsidR="00291FCD" w:rsidRDefault="00291FCD" w:rsidP="002041F3">
      <w:pPr>
        <w:pStyle w:val="Default"/>
        <w:jc w:val="both"/>
        <w:rPr>
          <w:rFonts w:ascii="Aptos" w:hAnsi="Aptos"/>
          <w:b/>
          <w:bCs/>
          <w:sz w:val="20"/>
          <w:szCs w:val="20"/>
          <w:lang w:val="en-CA"/>
        </w:rPr>
      </w:pPr>
    </w:p>
    <w:p w14:paraId="7C6440D3" w14:textId="77777777" w:rsidR="00291FCD" w:rsidRPr="002346B8" w:rsidRDefault="00291FCD" w:rsidP="002041F3">
      <w:pPr>
        <w:pStyle w:val="Default"/>
        <w:jc w:val="both"/>
        <w:rPr>
          <w:rFonts w:ascii="Aptos" w:hAnsi="Aptos"/>
          <w:b/>
          <w:bCs/>
          <w:sz w:val="20"/>
          <w:szCs w:val="20"/>
          <w:lang w:val="en-CA"/>
        </w:rPr>
      </w:pPr>
    </w:p>
    <w:p w14:paraId="1A62E94B" w14:textId="77777777" w:rsidR="007B6418" w:rsidRPr="002346B8" w:rsidRDefault="007B6418" w:rsidP="002041F3">
      <w:pPr>
        <w:pStyle w:val="Default"/>
        <w:jc w:val="both"/>
        <w:rPr>
          <w:rFonts w:ascii="Aptos" w:hAnsi="Aptos"/>
          <w:b/>
          <w:bCs/>
          <w:sz w:val="20"/>
          <w:szCs w:val="20"/>
          <w:lang w:val="en-CA"/>
        </w:rPr>
      </w:pPr>
    </w:p>
    <w:p w14:paraId="043A092E" w14:textId="476575BF" w:rsidR="009E0D0B" w:rsidRPr="002346B8" w:rsidRDefault="009508E1" w:rsidP="002041F3">
      <w:pPr>
        <w:pStyle w:val="Default"/>
        <w:jc w:val="both"/>
        <w:rPr>
          <w:rFonts w:ascii="Aptos" w:hAnsi="Aptos"/>
          <w:sz w:val="20"/>
          <w:szCs w:val="20"/>
          <w:lang w:val="en-CA"/>
        </w:rPr>
      </w:pPr>
      <w:r w:rsidRPr="002346B8">
        <w:rPr>
          <w:rFonts w:ascii="Aptos" w:hAnsi="Aptos"/>
          <w:b/>
          <w:bCs/>
          <w:sz w:val="20"/>
          <w:szCs w:val="20"/>
          <w:lang w:val="en-CA"/>
        </w:rPr>
        <w:t>REQUIREMENTS</w:t>
      </w:r>
      <w:r w:rsidR="009E0D0B" w:rsidRPr="002346B8">
        <w:rPr>
          <w:rFonts w:ascii="Aptos" w:hAnsi="Aptos"/>
          <w:b/>
          <w:bCs/>
          <w:sz w:val="20"/>
          <w:szCs w:val="20"/>
          <w:lang w:val="en-CA"/>
        </w:rPr>
        <w:t xml:space="preserve">  </w:t>
      </w:r>
    </w:p>
    <w:p w14:paraId="05387855"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Aptos"/>
          <w:color w:val="000000"/>
          <w:sz w:val="20"/>
          <w:szCs w:val="20"/>
          <w:lang w:val="en-CA" w:eastAsia="en-CA"/>
        </w:rPr>
      </w:pPr>
      <w:r w:rsidRPr="002346B8">
        <w:rPr>
          <w:rFonts w:ascii="Aptos" w:hAnsi="Aptos" w:cs="Aptos"/>
          <w:color w:val="000000"/>
          <w:sz w:val="20"/>
          <w:szCs w:val="20"/>
          <w:lang w:val="en-CA" w:eastAsia="en-CA"/>
        </w:rPr>
        <w:t>Bachelor of Science, Administration or equivalent (</w:t>
      </w:r>
      <w:r w:rsidRPr="002346B8">
        <w:rPr>
          <w:rFonts w:ascii="Aptos" w:hAnsi="Aptos" w:cs="Aptos"/>
          <w:b/>
          <w:bCs/>
          <w:color w:val="000000"/>
          <w:sz w:val="20"/>
          <w:szCs w:val="20"/>
          <w:lang w:val="en-CA" w:eastAsia="en-CA"/>
        </w:rPr>
        <w:t>mandatory</w:t>
      </w:r>
      <w:r w:rsidRPr="002346B8">
        <w:rPr>
          <w:rFonts w:ascii="Aptos" w:hAnsi="Aptos" w:cs="Aptos"/>
          <w:color w:val="000000"/>
          <w:sz w:val="20"/>
          <w:szCs w:val="20"/>
          <w:lang w:val="en-CA" w:eastAsia="en-CA"/>
        </w:rPr>
        <w:t>);</w:t>
      </w:r>
    </w:p>
    <w:p w14:paraId="626D0AC0" w14:textId="77777777" w:rsid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Aptos"/>
          <w:color w:val="000000"/>
          <w:sz w:val="20"/>
          <w:szCs w:val="20"/>
          <w:lang w:val="en-CA" w:eastAsia="en-CA"/>
        </w:rPr>
      </w:pPr>
      <w:r w:rsidRPr="002346B8">
        <w:rPr>
          <w:rFonts w:ascii="Aptos" w:hAnsi="Aptos" w:cs="Aptos"/>
          <w:color w:val="000000"/>
          <w:sz w:val="20"/>
          <w:szCs w:val="20"/>
          <w:lang w:val="en-CA" w:eastAsia="en-CA"/>
        </w:rPr>
        <w:t>Perfectly bilingual, spoken and written French/English (</w:t>
      </w:r>
      <w:r w:rsidRPr="002346B8">
        <w:rPr>
          <w:rFonts w:ascii="Aptos" w:hAnsi="Aptos" w:cs="Aptos"/>
          <w:b/>
          <w:bCs/>
          <w:color w:val="000000"/>
          <w:sz w:val="20"/>
          <w:szCs w:val="20"/>
          <w:lang w:val="en-CA" w:eastAsia="en-CA"/>
        </w:rPr>
        <w:t>mandatory, tests to be passed</w:t>
      </w:r>
      <w:r w:rsidRPr="002346B8">
        <w:rPr>
          <w:rFonts w:ascii="Aptos" w:hAnsi="Aptos" w:cs="Aptos"/>
          <w:color w:val="000000"/>
          <w:sz w:val="20"/>
          <w:szCs w:val="20"/>
          <w:lang w:val="en-CA" w:eastAsia="en-CA"/>
        </w:rPr>
        <w:t>);</w:t>
      </w:r>
    </w:p>
    <w:p w14:paraId="6D330725" w14:textId="6CD4285D" w:rsidR="001A7A09" w:rsidRPr="002346B8" w:rsidRDefault="001A7A09"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Aptos"/>
          <w:color w:val="000000"/>
          <w:sz w:val="20"/>
          <w:szCs w:val="20"/>
          <w:lang w:val="en-CA" w:eastAsia="en-CA"/>
        </w:rPr>
      </w:pPr>
      <w:r w:rsidRPr="001A7A09">
        <w:rPr>
          <w:rFonts w:ascii="Aptos" w:hAnsi="Aptos" w:cs="Aptos"/>
          <w:color w:val="000000"/>
          <w:sz w:val="20"/>
          <w:szCs w:val="20"/>
          <w:lang w:val="en-US" w:eastAsia="en-CA"/>
        </w:rPr>
        <w:t xml:space="preserve">Advanced proficiency in MS Office (Word, Excel, and PowerPoint) – </w:t>
      </w:r>
      <w:r w:rsidRPr="001A7A09">
        <w:rPr>
          <w:rFonts w:ascii="Aptos" w:hAnsi="Aptos" w:cs="Aptos"/>
          <w:b/>
          <w:bCs/>
          <w:color w:val="000000"/>
          <w:sz w:val="20"/>
          <w:szCs w:val="20"/>
          <w:lang w:val="en-US" w:eastAsia="en-CA"/>
        </w:rPr>
        <w:t>Candidates must pass tests in Word and Excel</w:t>
      </w:r>
      <w:r w:rsidRPr="001A7A09">
        <w:rPr>
          <w:rFonts w:ascii="Aptos" w:hAnsi="Aptos" w:cs="Aptos"/>
          <w:color w:val="000000"/>
          <w:sz w:val="20"/>
          <w:szCs w:val="20"/>
          <w:lang w:val="en-US" w:eastAsia="en-CA"/>
        </w:rPr>
        <w:t>.</w:t>
      </w:r>
    </w:p>
    <w:p w14:paraId="0C425898"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cs="Aptos"/>
          <w:color w:val="000000"/>
          <w:sz w:val="20"/>
          <w:szCs w:val="20"/>
          <w:lang w:val="en-CA"/>
        </w:rPr>
        <w:t>Minimum of one (1) year of experience in clinical research and a minimum of two (2) years of experience in clinical documentation management and archiving in a pharmaceutical/biotechnology setting or in a contract research organization;</w:t>
      </w:r>
    </w:p>
    <w:p w14:paraId="684D87D2"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cs="Aptos"/>
          <w:sz w:val="20"/>
          <w:szCs w:val="20"/>
          <w:lang w:val="en-CA"/>
        </w:rPr>
        <w:t>High level of attention to detail;</w:t>
      </w:r>
    </w:p>
    <w:p w14:paraId="016083DF"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cs="Aptos"/>
          <w:sz w:val="20"/>
          <w:szCs w:val="20"/>
          <w:lang w:val="en-CA"/>
        </w:rPr>
        <w:t xml:space="preserve">Excellent analytical and problem-solving skills; </w:t>
      </w:r>
    </w:p>
    <w:p w14:paraId="6EAFA9CC"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jc w:val="both"/>
        <w:rPr>
          <w:rFonts w:ascii="Aptos" w:hAnsi="Aptos" w:cs="Aptos"/>
          <w:sz w:val="20"/>
          <w:szCs w:val="20"/>
          <w:lang w:val="en-CA"/>
        </w:rPr>
      </w:pPr>
      <w:r w:rsidRPr="002346B8">
        <w:rPr>
          <w:rFonts w:ascii="Aptos" w:hAnsi="Aptos"/>
          <w:sz w:val="20"/>
          <w:szCs w:val="20"/>
          <w:lang w:val="en-CA"/>
        </w:rPr>
        <w:t>Ability to effectively set priorities;</w:t>
      </w:r>
    </w:p>
    <w:p w14:paraId="6411E242"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Calibri"/>
          <w:color w:val="000000"/>
          <w:sz w:val="20"/>
          <w:szCs w:val="20"/>
          <w:lang w:val="en-CA" w:eastAsia="en-CA"/>
        </w:rPr>
      </w:pPr>
      <w:r w:rsidRPr="002346B8">
        <w:rPr>
          <w:rFonts w:ascii="Aptos" w:hAnsi="Aptos" w:cs="Calibri"/>
          <w:color w:val="000000"/>
          <w:sz w:val="20"/>
          <w:szCs w:val="20"/>
          <w:lang w:val="en-CA"/>
        </w:rPr>
        <w:t xml:space="preserve">Strong organizational, interpersonal and teamwork skills; </w:t>
      </w:r>
    </w:p>
    <w:p w14:paraId="1D21D99E" w14:textId="77777777" w:rsidR="002346B8" w:rsidRPr="002346B8" w:rsidRDefault="002346B8" w:rsidP="002346B8">
      <w:pPr>
        <w:pStyle w:val="ListParagraph"/>
        <w:numPr>
          <w:ilvl w:val="0"/>
          <w:numId w:val="22"/>
        </w:numPr>
        <w:shd w:val="clear" w:color="auto" w:fill="FFFFFF"/>
        <w:tabs>
          <w:tab w:val="clear" w:pos="720"/>
          <w:tab w:val="left" w:pos="426"/>
        </w:tabs>
        <w:spacing w:after="240" w:line="240" w:lineRule="auto"/>
        <w:ind w:left="426" w:hanging="295"/>
        <w:contextualSpacing/>
        <w:rPr>
          <w:rFonts w:ascii="Aptos" w:hAnsi="Aptos" w:cs="Calibri"/>
          <w:color w:val="000000"/>
          <w:sz w:val="20"/>
          <w:szCs w:val="20"/>
          <w:lang w:val="en-CA" w:eastAsia="en-CA"/>
        </w:rPr>
      </w:pPr>
      <w:r w:rsidRPr="002346B8">
        <w:rPr>
          <w:rFonts w:ascii="Aptos" w:hAnsi="Aptos" w:cs="Calibri"/>
          <w:color w:val="000000"/>
          <w:sz w:val="20"/>
          <w:szCs w:val="20"/>
          <w:lang w:val="en-CA"/>
        </w:rPr>
        <w:t>Ability to initiate assigned tasks and work independently.</w:t>
      </w:r>
    </w:p>
    <w:p w14:paraId="54B3FF43" w14:textId="77777777" w:rsidR="00CA1EEA" w:rsidRPr="002346B8" w:rsidRDefault="00CA1EEA" w:rsidP="00CA1EEA">
      <w:pPr>
        <w:pStyle w:val="Default"/>
        <w:ind w:left="720"/>
        <w:rPr>
          <w:rFonts w:ascii="Aptos" w:hAnsi="Aptos"/>
          <w:sz w:val="20"/>
          <w:szCs w:val="20"/>
          <w:lang w:val="en-CA"/>
        </w:rPr>
      </w:pPr>
    </w:p>
    <w:p w14:paraId="185493B2" w14:textId="77777777" w:rsidR="00CA1EEA" w:rsidRPr="002346B8" w:rsidRDefault="00CA1EEA">
      <w:pPr>
        <w:pStyle w:val="Default"/>
        <w:rPr>
          <w:rFonts w:ascii="Aptos" w:hAnsi="Aptos"/>
          <w:b/>
          <w:sz w:val="20"/>
          <w:szCs w:val="20"/>
        </w:rPr>
      </w:pPr>
      <w:r w:rsidRPr="002346B8">
        <w:rPr>
          <w:rFonts w:ascii="Aptos" w:hAnsi="Aptos"/>
          <w:b/>
          <w:sz w:val="20"/>
          <w:szCs w:val="20"/>
        </w:rPr>
        <w:t>WORK CONDITIONS</w:t>
      </w:r>
    </w:p>
    <w:p w14:paraId="7FB2CBC8"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35 hours weekly base</w:t>
      </w:r>
    </w:p>
    <w:p w14:paraId="0940B9BC"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Pre-approved overtime paid</w:t>
      </w:r>
    </w:p>
    <w:p w14:paraId="1322215D"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Flexible work schedule for work-family balance</w:t>
      </w:r>
    </w:p>
    <w:p w14:paraId="1F66ABE1"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Hybrid model (working from home and office)</w:t>
      </w:r>
    </w:p>
    <w:p w14:paraId="40DC87F7" w14:textId="49478580" w:rsidR="00CA1EEA" w:rsidRPr="002346B8" w:rsidRDefault="002346B8" w:rsidP="00CA1EEA">
      <w:pPr>
        <w:pStyle w:val="Default"/>
        <w:numPr>
          <w:ilvl w:val="0"/>
          <w:numId w:val="19"/>
        </w:numPr>
        <w:rPr>
          <w:rFonts w:ascii="Aptos" w:hAnsi="Aptos"/>
          <w:sz w:val="20"/>
          <w:szCs w:val="20"/>
          <w:lang w:val="en-CA"/>
        </w:rPr>
      </w:pPr>
      <w:r w:rsidRPr="002346B8">
        <w:rPr>
          <w:rFonts w:ascii="Aptos" w:hAnsi="Aptos"/>
          <w:sz w:val="20"/>
          <w:szCs w:val="20"/>
          <w:lang w:val="en-CA"/>
        </w:rPr>
        <w:t>4</w:t>
      </w:r>
      <w:r w:rsidR="00CA1EEA" w:rsidRPr="002346B8">
        <w:rPr>
          <w:rFonts w:ascii="Aptos" w:hAnsi="Aptos"/>
          <w:sz w:val="20"/>
          <w:szCs w:val="20"/>
          <w:lang w:val="en-CA"/>
        </w:rPr>
        <w:t xml:space="preserve"> weeks’ vacation after one year</w:t>
      </w:r>
    </w:p>
    <w:p w14:paraId="6758F588"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13 statutory holidays</w:t>
      </w:r>
    </w:p>
    <w:p w14:paraId="5AD04456"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Defined retirement benefits</w:t>
      </w:r>
    </w:p>
    <w:p w14:paraId="02DA8098"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Group insurance</w:t>
      </w:r>
    </w:p>
    <w:p w14:paraId="13840989" w14:textId="77777777" w:rsidR="00CA1EEA" w:rsidRPr="002346B8" w:rsidRDefault="00CA1EEA" w:rsidP="00CA1EEA">
      <w:pPr>
        <w:pStyle w:val="Default"/>
        <w:numPr>
          <w:ilvl w:val="0"/>
          <w:numId w:val="19"/>
        </w:numPr>
        <w:rPr>
          <w:rFonts w:ascii="Aptos" w:hAnsi="Aptos"/>
          <w:sz w:val="20"/>
          <w:szCs w:val="20"/>
          <w:lang w:val="en-CA"/>
        </w:rPr>
      </w:pPr>
      <w:r w:rsidRPr="002346B8">
        <w:rPr>
          <w:rFonts w:ascii="Aptos" w:hAnsi="Aptos"/>
          <w:sz w:val="20"/>
          <w:szCs w:val="20"/>
          <w:lang w:val="en-CA"/>
        </w:rPr>
        <w:t>9.6 day off sick days</w:t>
      </w:r>
    </w:p>
    <w:p w14:paraId="4B6E76BB" w14:textId="77777777" w:rsidR="00C02B92" w:rsidRPr="002346B8" w:rsidRDefault="00C02B92" w:rsidP="00042078">
      <w:pPr>
        <w:pStyle w:val="Default"/>
        <w:jc w:val="center"/>
        <w:rPr>
          <w:rFonts w:ascii="Aptos" w:hAnsi="Aptos"/>
          <w:sz w:val="20"/>
          <w:szCs w:val="20"/>
          <w:lang w:val="en-CA"/>
        </w:rPr>
      </w:pPr>
    </w:p>
    <w:p w14:paraId="67CDC9FC" w14:textId="0CCE7E1B" w:rsidR="009E0D0B" w:rsidRPr="002346B8" w:rsidRDefault="00291FCD" w:rsidP="00C02B92">
      <w:pPr>
        <w:pStyle w:val="Default"/>
        <w:jc w:val="both"/>
        <w:rPr>
          <w:rFonts w:ascii="Aptos" w:hAnsi="Aptos"/>
          <w:i/>
          <w:color w:val="auto"/>
          <w:sz w:val="20"/>
          <w:szCs w:val="20"/>
          <w:lang w:val="en-CA"/>
        </w:rPr>
      </w:pPr>
      <w:r w:rsidRPr="00291FCD">
        <w:rPr>
          <w:rFonts w:ascii="Aptos" w:hAnsi="Aptos"/>
          <w:bCs/>
          <w:i/>
          <w:color w:val="auto"/>
          <w:sz w:val="20"/>
          <w:szCs w:val="20"/>
          <w:lang w:val="en-CA"/>
        </w:rPr>
        <w:t>We</w:t>
      </w:r>
      <w:r w:rsidR="00CA1EEA" w:rsidRPr="002346B8">
        <w:rPr>
          <w:rFonts w:ascii="Aptos" w:hAnsi="Aptos"/>
          <w:i/>
          <w:color w:val="auto"/>
          <w:sz w:val="20"/>
          <w:szCs w:val="20"/>
          <w:lang w:val="en-CA"/>
        </w:rPr>
        <w:t xml:space="preserve"> offer a wide range of benefits aimed at the health, well-being, and quality of work life of employees, including free access to the EPIC Center, as well as various other benefits</w:t>
      </w:r>
      <w:r w:rsidR="008266D5" w:rsidRPr="002346B8">
        <w:rPr>
          <w:rFonts w:ascii="Aptos" w:hAnsi="Aptos"/>
          <w:i/>
          <w:color w:val="auto"/>
          <w:sz w:val="20"/>
          <w:szCs w:val="20"/>
          <w:lang w:val="en-CA"/>
        </w:rPr>
        <w:t>.</w:t>
      </w:r>
    </w:p>
    <w:p w14:paraId="5CCAB185" w14:textId="77777777" w:rsidR="00C02B92" w:rsidRPr="002346B8" w:rsidRDefault="00C02B92">
      <w:pPr>
        <w:pStyle w:val="Default"/>
        <w:rPr>
          <w:rFonts w:ascii="Aptos" w:hAnsi="Aptos"/>
          <w:b/>
          <w:bCs/>
          <w:color w:val="2E74B5" w:themeColor="accent1" w:themeShade="BF"/>
          <w:sz w:val="20"/>
          <w:szCs w:val="20"/>
          <w:lang w:val="en-CA"/>
        </w:rPr>
      </w:pPr>
    </w:p>
    <w:p w14:paraId="67092783" w14:textId="77777777" w:rsidR="009E0D0B" w:rsidRPr="002346B8" w:rsidRDefault="00DC06D2">
      <w:pPr>
        <w:pStyle w:val="Default"/>
        <w:rPr>
          <w:rFonts w:ascii="Aptos" w:hAnsi="Aptos"/>
          <w:sz w:val="20"/>
          <w:szCs w:val="20"/>
          <w:lang w:val="en-CA"/>
        </w:rPr>
      </w:pPr>
      <w:r w:rsidRPr="002346B8">
        <w:rPr>
          <w:rFonts w:ascii="Aptos" w:hAnsi="Aptos"/>
          <w:b/>
          <w:bCs/>
          <w:sz w:val="20"/>
          <w:szCs w:val="20"/>
          <w:lang w:val="en-CA"/>
        </w:rPr>
        <w:t xml:space="preserve">TO SUBMIT YOUR APPLICATION : </w:t>
      </w:r>
    </w:p>
    <w:p w14:paraId="653DB184" w14:textId="72E875DC" w:rsidR="00C02B92" w:rsidRPr="002346B8" w:rsidRDefault="00DC06D2" w:rsidP="000227CA">
      <w:pPr>
        <w:pStyle w:val="Default"/>
        <w:numPr>
          <w:ilvl w:val="0"/>
          <w:numId w:val="15"/>
        </w:numPr>
        <w:jc w:val="both"/>
        <w:rPr>
          <w:rFonts w:ascii="Aptos" w:hAnsi="Aptos"/>
          <w:sz w:val="20"/>
          <w:szCs w:val="20"/>
        </w:rPr>
      </w:pPr>
      <w:r w:rsidRPr="002346B8">
        <w:rPr>
          <w:rFonts w:ascii="Aptos" w:hAnsi="Aptos"/>
          <w:sz w:val="20"/>
          <w:szCs w:val="20"/>
        </w:rPr>
        <w:t xml:space="preserve">Deadline to </w:t>
      </w:r>
      <w:proofErr w:type="spellStart"/>
      <w:r w:rsidRPr="002346B8">
        <w:rPr>
          <w:rFonts w:ascii="Aptos" w:hAnsi="Aptos"/>
          <w:sz w:val="20"/>
          <w:szCs w:val="20"/>
        </w:rPr>
        <w:t>apply</w:t>
      </w:r>
      <w:proofErr w:type="spellEnd"/>
      <w:r w:rsidRPr="007240B4">
        <w:rPr>
          <w:rFonts w:ascii="Aptos" w:hAnsi="Aptos"/>
          <w:sz w:val="20"/>
          <w:szCs w:val="20"/>
        </w:rPr>
        <w:t>:</w:t>
      </w:r>
      <w:r w:rsidR="008266D5" w:rsidRPr="007240B4">
        <w:rPr>
          <w:rFonts w:ascii="Aptos" w:hAnsi="Aptos"/>
          <w:sz w:val="20"/>
          <w:szCs w:val="20"/>
        </w:rPr>
        <w:t xml:space="preserve"> </w:t>
      </w:r>
      <w:r w:rsidR="007B6418" w:rsidRPr="007240B4">
        <w:rPr>
          <w:rFonts w:ascii="Aptos" w:hAnsi="Aptos"/>
          <w:b/>
          <w:sz w:val="20"/>
          <w:szCs w:val="20"/>
        </w:rPr>
        <w:t xml:space="preserve"> </w:t>
      </w:r>
      <w:proofErr w:type="spellStart"/>
      <w:r w:rsidR="003E6008">
        <w:rPr>
          <w:rFonts w:ascii="Aptos" w:hAnsi="Aptos"/>
          <w:b/>
          <w:sz w:val="20"/>
          <w:szCs w:val="20"/>
        </w:rPr>
        <w:t>November</w:t>
      </w:r>
      <w:proofErr w:type="spellEnd"/>
      <w:r w:rsidR="003E6008">
        <w:rPr>
          <w:rFonts w:ascii="Aptos" w:hAnsi="Aptos"/>
          <w:b/>
          <w:sz w:val="20"/>
          <w:szCs w:val="20"/>
        </w:rPr>
        <w:t xml:space="preserve"> </w:t>
      </w:r>
      <w:r w:rsidR="00481765">
        <w:rPr>
          <w:rFonts w:ascii="Aptos" w:hAnsi="Aptos"/>
          <w:b/>
          <w:sz w:val="20"/>
          <w:szCs w:val="20"/>
        </w:rPr>
        <w:t>28</w:t>
      </w:r>
      <w:r w:rsidR="008266D5" w:rsidRPr="007240B4">
        <w:rPr>
          <w:rFonts w:ascii="Aptos" w:hAnsi="Aptos"/>
          <w:b/>
          <w:sz w:val="20"/>
          <w:szCs w:val="20"/>
        </w:rPr>
        <w:t>, 2</w:t>
      </w:r>
      <w:r w:rsidR="008266D5" w:rsidRPr="002346B8">
        <w:rPr>
          <w:rFonts w:ascii="Aptos" w:hAnsi="Aptos"/>
          <w:b/>
          <w:sz w:val="20"/>
          <w:szCs w:val="20"/>
        </w:rPr>
        <w:t>02</w:t>
      </w:r>
      <w:r w:rsidR="00F8482A" w:rsidRPr="002346B8">
        <w:rPr>
          <w:rFonts w:ascii="Aptos" w:hAnsi="Aptos"/>
          <w:b/>
          <w:sz w:val="20"/>
          <w:szCs w:val="20"/>
        </w:rPr>
        <w:t>5</w:t>
      </w:r>
    </w:p>
    <w:p w14:paraId="0AD0087F" w14:textId="77777777" w:rsidR="009E0D0B" w:rsidRPr="002346B8" w:rsidRDefault="00DC06D2" w:rsidP="00DC06D2">
      <w:pPr>
        <w:numPr>
          <w:ilvl w:val="0"/>
          <w:numId w:val="15"/>
        </w:numPr>
        <w:rPr>
          <w:rFonts w:ascii="Aptos" w:hAnsi="Aptos" w:cs="Calibri"/>
          <w:color w:val="000000"/>
          <w:sz w:val="20"/>
          <w:szCs w:val="20"/>
          <w:lang w:val="en-CA"/>
        </w:rPr>
      </w:pPr>
      <w:r w:rsidRPr="002346B8">
        <w:rPr>
          <w:rFonts w:ascii="Aptos" w:hAnsi="Aptos" w:cs="Calibri"/>
          <w:color w:val="000000"/>
          <w:sz w:val="20"/>
          <w:szCs w:val="20"/>
          <w:lang w:val="en-CA"/>
        </w:rPr>
        <w:t>Please attach your cover letter and resume</w:t>
      </w:r>
    </w:p>
    <w:p w14:paraId="3F5BF31D" w14:textId="18D1708F" w:rsidR="009E0D0B" w:rsidRDefault="00E02647" w:rsidP="00E02647">
      <w:pPr>
        <w:pStyle w:val="Default"/>
        <w:numPr>
          <w:ilvl w:val="0"/>
          <w:numId w:val="15"/>
        </w:numPr>
        <w:rPr>
          <w:rFonts w:ascii="Aptos" w:hAnsi="Aptos"/>
          <w:sz w:val="20"/>
          <w:szCs w:val="20"/>
        </w:rPr>
      </w:pPr>
      <w:hyperlink r:id="rId7" w:history="1">
        <w:r w:rsidRPr="0022652A">
          <w:rPr>
            <w:rStyle w:val="Hyperlink"/>
            <w:rFonts w:ascii="Aptos" w:hAnsi="Aptos" w:cs="Calibri"/>
            <w:sz w:val="20"/>
            <w:szCs w:val="20"/>
          </w:rPr>
          <w:t>https://atlas.workland.com/work/67569/specialiste-registre-des-essais-cliniques-tmf</w:t>
        </w:r>
      </w:hyperlink>
    </w:p>
    <w:p w14:paraId="0BB38949" w14:textId="77777777" w:rsidR="00E02647" w:rsidRPr="00436EF9" w:rsidRDefault="00E02647">
      <w:pPr>
        <w:pStyle w:val="Default"/>
        <w:rPr>
          <w:rFonts w:ascii="Aptos" w:hAnsi="Aptos"/>
          <w:sz w:val="20"/>
          <w:szCs w:val="20"/>
          <w:lang w:val="en-CA"/>
        </w:rPr>
      </w:pPr>
    </w:p>
    <w:p w14:paraId="458A7EFE" w14:textId="109BA995" w:rsidR="009E0D0B" w:rsidRPr="007B6418" w:rsidRDefault="00291FCD" w:rsidP="00DC06D2">
      <w:pPr>
        <w:pStyle w:val="Default"/>
        <w:jc w:val="center"/>
        <w:rPr>
          <w:rFonts w:ascii="Aptos" w:hAnsi="Aptos"/>
          <w:i/>
          <w:sz w:val="20"/>
          <w:szCs w:val="20"/>
          <w:lang w:val="en-CA"/>
        </w:rPr>
      </w:pPr>
      <w:r w:rsidRPr="00291FCD">
        <w:rPr>
          <w:rFonts w:ascii="Aptos" w:hAnsi="Aptos"/>
          <w:bCs/>
          <w:i/>
          <w:sz w:val="20"/>
          <w:szCs w:val="20"/>
          <w:lang w:val="en-CA"/>
        </w:rPr>
        <w:t>We</w:t>
      </w:r>
      <w:r>
        <w:rPr>
          <w:rFonts w:ascii="Aptos" w:hAnsi="Aptos"/>
          <w:b/>
          <w:i/>
          <w:sz w:val="20"/>
          <w:szCs w:val="20"/>
          <w:lang w:val="en-CA"/>
        </w:rPr>
        <w:t xml:space="preserve"> </w:t>
      </w:r>
      <w:r w:rsidR="00DC06D2" w:rsidRPr="007B6418">
        <w:rPr>
          <w:rFonts w:ascii="Aptos" w:hAnsi="Aptos"/>
          <w:i/>
          <w:sz w:val="20"/>
          <w:szCs w:val="20"/>
          <w:lang w:val="en-CA"/>
        </w:rPr>
        <w:t>subscribe to an equal access program. Applications from targeted groups (women, visible minorities, ethnic minorities, Indigenous peoples, and persons with disabilities) are encouraged</w:t>
      </w:r>
    </w:p>
    <w:p w14:paraId="6D36BFD8" w14:textId="77777777" w:rsidR="009E0D0B" w:rsidRPr="007B6418" w:rsidRDefault="009E0D0B" w:rsidP="002041F3">
      <w:pPr>
        <w:pStyle w:val="Default"/>
        <w:jc w:val="center"/>
        <w:rPr>
          <w:rFonts w:ascii="Aptos" w:hAnsi="Aptos"/>
          <w:sz w:val="20"/>
          <w:szCs w:val="20"/>
          <w:lang w:val="en-CA"/>
        </w:rPr>
      </w:pPr>
    </w:p>
    <w:p w14:paraId="2047B842" w14:textId="356EC7F3" w:rsidR="00C97F0E" w:rsidRDefault="00C97F0E" w:rsidP="00C97F0E">
      <w:pPr>
        <w:jc w:val="center"/>
        <w:rPr>
          <w:rFonts w:ascii="Aptos" w:hAnsi="Aptos" w:cs="Calibri"/>
          <w:b/>
          <w:bCs/>
          <w:sz w:val="20"/>
          <w:szCs w:val="20"/>
          <w:lang w:val="en-CA"/>
        </w:rPr>
      </w:pPr>
      <w:r w:rsidRPr="007B6418">
        <w:rPr>
          <w:rFonts w:ascii="Aptos" w:hAnsi="Aptos" w:cs="Calibri"/>
          <w:b/>
          <w:bCs/>
          <w:sz w:val="20"/>
          <w:szCs w:val="20"/>
          <w:lang w:val="en-CA"/>
        </w:rPr>
        <w:t>We thank all those who apply to this position but only candidates that have been selected for an interview will be contacted.</w:t>
      </w:r>
    </w:p>
    <w:p w14:paraId="35E7535D" w14:textId="74AAA529" w:rsidR="00291FCD" w:rsidRPr="007B6418" w:rsidRDefault="00291FCD" w:rsidP="00C97F0E">
      <w:pPr>
        <w:jc w:val="center"/>
        <w:rPr>
          <w:rFonts w:ascii="Aptos" w:hAnsi="Aptos" w:cs="Calibri"/>
          <w:b/>
          <w:bCs/>
          <w:sz w:val="20"/>
          <w:szCs w:val="20"/>
          <w:lang w:val="en-CA"/>
        </w:rPr>
      </w:pPr>
      <w:r>
        <w:rPr>
          <w:rFonts w:ascii="Aptos" w:hAnsi="Aptos" w:cs="Calibri"/>
          <w:b/>
          <w:bCs/>
          <w:sz w:val="20"/>
          <w:szCs w:val="20"/>
          <w:lang w:val="en-CA"/>
        </w:rPr>
        <w:t>Visit our web site: www.seriant.org</w:t>
      </w:r>
    </w:p>
    <w:p w14:paraId="623019AE" w14:textId="77777777" w:rsidR="00C02B92" w:rsidRPr="008266D5" w:rsidRDefault="00C02B92" w:rsidP="002041F3">
      <w:pPr>
        <w:pStyle w:val="Default"/>
        <w:jc w:val="center"/>
        <w:rPr>
          <w:b/>
          <w:bCs/>
          <w:sz w:val="22"/>
          <w:szCs w:val="22"/>
          <w:lang w:val="en-CA"/>
        </w:rPr>
      </w:pPr>
    </w:p>
    <w:p w14:paraId="6A561EBF" w14:textId="77777777" w:rsidR="00C02B92" w:rsidRPr="008266D5" w:rsidRDefault="00C02B92">
      <w:pPr>
        <w:pStyle w:val="Default"/>
        <w:jc w:val="center"/>
        <w:rPr>
          <w:color w:val="7030A0"/>
          <w:lang w:val="en-CA"/>
        </w:rPr>
      </w:pPr>
    </w:p>
    <w:sectPr w:rsidR="00C02B92" w:rsidRPr="008266D5">
      <w:headerReference w:type="default" r:id="rId8"/>
      <w:footerReference w:type="default" r:id="rId9"/>
      <w:pgSz w:w="12240" w:h="16340"/>
      <w:pgMar w:top="955" w:right="1079" w:bottom="972" w:left="123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D4E5" w14:textId="77777777" w:rsidR="00531084" w:rsidRDefault="00531084" w:rsidP="0084720A">
      <w:pPr>
        <w:spacing w:after="0" w:line="240" w:lineRule="auto"/>
      </w:pPr>
      <w:r>
        <w:separator/>
      </w:r>
    </w:p>
  </w:endnote>
  <w:endnote w:type="continuationSeparator" w:id="0">
    <w:p w14:paraId="309D0844" w14:textId="77777777" w:rsidR="00531084" w:rsidRDefault="00531084" w:rsidP="0084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BDFD" w14:textId="4314FDE5" w:rsidR="00291FCD" w:rsidRPr="00291FCD" w:rsidRDefault="00291FCD" w:rsidP="00291FCD">
    <w:pPr>
      <w:pStyle w:val="Footer"/>
    </w:pPr>
    <w:r w:rsidRPr="00D02688">
      <w:rPr>
        <w:noProof/>
      </w:rPr>
      <w:drawing>
        <wp:inline distT="0" distB="0" distL="0" distR="0" wp14:anchorId="175D250B" wp14:editId="6B62CB38">
          <wp:extent cx="1862455" cy="516255"/>
          <wp:effectExtent l="0" t="0" r="444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55" cy="5162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151B" w14:textId="77777777" w:rsidR="00531084" w:rsidRDefault="00531084" w:rsidP="0084720A">
      <w:pPr>
        <w:spacing w:after="0" w:line="240" w:lineRule="auto"/>
      </w:pPr>
      <w:r>
        <w:separator/>
      </w:r>
    </w:p>
  </w:footnote>
  <w:footnote w:type="continuationSeparator" w:id="0">
    <w:p w14:paraId="1CC41975" w14:textId="77777777" w:rsidR="00531084" w:rsidRDefault="00531084" w:rsidP="0084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EA1" w14:textId="47742D3B" w:rsidR="0084720A" w:rsidRDefault="00637881">
    <w:pPr>
      <w:pStyle w:val="Header"/>
    </w:pPr>
    <w:r>
      <w:rPr>
        <w:noProof/>
      </w:rPr>
      <w:drawing>
        <wp:inline distT="0" distB="0" distL="0" distR="0" wp14:anchorId="571D8019" wp14:editId="79AB9B5D">
          <wp:extent cx="3073400" cy="10223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0" cy="1022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B8E"/>
    <w:multiLevelType w:val="hybridMultilevel"/>
    <w:tmpl w:val="FFFFFFFF"/>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9885FF0"/>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D57004"/>
    <w:multiLevelType w:val="multilevel"/>
    <w:tmpl w:val="3A7646DA"/>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3" w15:restartNumberingAfterBreak="0">
    <w:nsid w:val="117B5E66"/>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5D6780"/>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530F21"/>
    <w:multiLevelType w:val="multilevel"/>
    <w:tmpl w:val="7EA63D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CC7E1C"/>
    <w:multiLevelType w:val="hybridMultilevel"/>
    <w:tmpl w:val="C73251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E716D7"/>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8811E14"/>
    <w:multiLevelType w:val="hybridMultilevel"/>
    <w:tmpl w:val="FFFFFFFF"/>
    <w:lvl w:ilvl="0" w:tplc="95F8B308">
      <w:numFmt w:val="bullet"/>
      <w:lvlText w:val="•"/>
      <w:lvlJc w:val="left"/>
      <w:pPr>
        <w:ind w:left="1080" w:hanging="720"/>
      </w:pPr>
      <w:rPr>
        <w:rFonts w:ascii="Calibri" w:eastAsiaTheme="minorEastAsia"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8F9023C"/>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C94561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D3E2E2C"/>
    <w:multiLevelType w:val="hybridMultilevel"/>
    <w:tmpl w:val="FFFFFFFF"/>
    <w:lvl w:ilvl="0" w:tplc="C8120516">
      <w:numFmt w:val="bullet"/>
      <w:lvlText w:val="-"/>
      <w:lvlJc w:val="left"/>
      <w:pPr>
        <w:ind w:left="720" w:hanging="360"/>
      </w:pPr>
      <w:rPr>
        <w:rFonts w:ascii="Calibri" w:eastAsiaTheme="minorEastAsia"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7AB262C"/>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F454DF2"/>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1957B17"/>
    <w:multiLevelType w:val="hybridMultilevel"/>
    <w:tmpl w:val="FFFFFFFF"/>
    <w:lvl w:ilvl="0" w:tplc="A740BE80">
      <w:start w:val="1"/>
      <w:numFmt w:val="bullet"/>
      <w:lvlText w:val="-"/>
      <w:lvlJc w:val="left"/>
      <w:pPr>
        <w:ind w:left="360" w:hanging="360"/>
      </w:pPr>
      <w:rPr>
        <w:rFonts w:ascii="Sitka Small" w:hAnsi="Sitka Smal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2526211"/>
    <w:multiLevelType w:val="multilevel"/>
    <w:tmpl w:val="7EA63D9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3E676C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4B142C3"/>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32D0D45"/>
    <w:multiLevelType w:val="hybridMultilevel"/>
    <w:tmpl w:val="FFFFFFFF"/>
    <w:lvl w:ilvl="0" w:tplc="A740BE80">
      <w:start w:val="1"/>
      <w:numFmt w:val="bullet"/>
      <w:lvlText w:val="-"/>
      <w:lvlJc w:val="left"/>
      <w:pPr>
        <w:ind w:left="720" w:hanging="360"/>
      </w:pPr>
      <w:rPr>
        <w:rFonts w:ascii="Sitka Small" w:hAnsi="Sitka Smal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5763CD2"/>
    <w:multiLevelType w:val="hybridMultilevel"/>
    <w:tmpl w:val="FFFFFFFF"/>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9FF26F2"/>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EE21418"/>
    <w:multiLevelType w:val="hybridMultilevel"/>
    <w:tmpl w:val="FFFFFFFF"/>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627541143">
    <w:abstractNumId w:val="18"/>
  </w:num>
  <w:num w:numId="2" w16cid:durableId="1113134773">
    <w:abstractNumId w:val="7"/>
  </w:num>
  <w:num w:numId="3" w16cid:durableId="1577668846">
    <w:abstractNumId w:val="12"/>
  </w:num>
  <w:num w:numId="4" w16cid:durableId="1962027681">
    <w:abstractNumId w:val="13"/>
  </w:num>
  <w:num w:numId="5" w16cid:durableId="357049459">
    <w:abstractNumId w:val="9"/>
  </w:num>
  <w:num w:numId="6" w16cid:durableId="386539419">
    <w:abstractNumId w:val="14"/>
  </w:num>
  <w:num w:numId="7" w16cid:durableId="1156264106">
    <w:abstractNumId w:val="19"/>
  </w:num>
  <w:num w:numId="8" w16cid:durableId="906768372">
    <w:abstractNumId w:val="0"/>
  </w:num>
  <w:num w:numId="9" w16cid:durableId="1874070672">
    <w:abstractNumId w:val="11"/>
  </w:num>
  <w:num w:numId="10" w16cid:durableId="434834397">
    <w:abstractNumId w:val="17"/>
  </w:num>
  <w:num w:numId="11" w16cid:durableId="1533835737">
    <w:abstractNumId w:val="21"/>
  </w:num>
  <w:num w:numId="12" w16cid:durableId="998927367">
    <w:abstractNumId w:val="1"/>
  </w:num>
  <w:num w:numId="13" w16cid:durableId="379942335">
    <w:abstractNumId w:val="10"/>
  </w:num>
  <w:num w:numId="14" w16cid:durableId="2053840915">
    <w:abstractNumId w:val="4"/>
  </w:num>
  <w:num w:numId="15" w16cid:durableId="733360930">
    <w:abstractNumId w:val="6"/>
  </w:num>
  <w:num w:numId="16" w16cid:durableId="1826895817">
    <w:abstractNumId w:val="20"/>
  </w:num>
  <w:num w:numId="17" w16cid:durableId="1500462386">
    <w:abstractNumId w:val="16"/>
  </w:num>
  <w:num w:numId="18" w16cid:durableId="2009168508">
    <w:abstractNumId w:val="3"/>
  </w:num>
  <w:num w:numId="19" w16cid:durableId="895630527">
    <w:abstractNumId w:val="8"/>
  </w:num>
  <w:num w:numId="20" w16cid:durableId="1870801783">
    <w:abstractNumId w:val="2"/>
  </w:num>
  <w:num w:numId="21" w16cid:durableId="486871612">
    <w:abstractNumId w:val="5"/>
  </w:num>
  <w:num w:numId="22" w16cid:durableId="1867020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F3"/>
    <w:rsid w:val="000000CC"/>
    <w:rsid w:val="000066CD"/>
    <w:rsid w:val="000227CA"/>
    <w:rsid w:val="0003445E"/>
    <w:rsid w:val="0004052A"/>
    <w:rsid w:val="00042078"/>
    <w:rsid w:val="00105078"/>
    <w:rsid w:val="0011093D"/>
    <w:rsid w:val="001337E6"/>
    <w:rsid w:val="001847FD"/>
    <w:rsid w:val="001877A5"/>
    <w:rsid w:val="001A0C4E"/>
    <w:rsid w:val="001A7A09"/>
    <w:rsid w:val="00202EBB"/>
    <w:rsid w:val="002041F3"/>
    <w:rsid w:val="00212F14"/>
    <w:rsid w:val="002346B8"/>
    <w:rsid w:val="00286569"/>
    <w:rsid w:val="00291FCD"/>
    <w:rsid w:val="002C2719"/>
    <w:rsid w:val="002D1A5C"/>
    <w:rsid w:val="003150F6"/>
    <w:rsid w:val="00344428"/>
    <w:rsid w:val="00370D2B"/>
    <w:rsid w:val="003D6AC9"/>
    <w:rsid w:val="003E0CCB"/>
    <w:rsid w:val="003E6008"/>
    <w:rsid w:val="00411346"/>
    <w:rsid w:val="00436EF9"/>
    <w:rsid w:val="00471108"/>
    <w:rsid w:val="00481765"/>
    <w:rsid w:val="00531084"/>
    <w:rsid w:val="00547CD8"/>
    <w:rsid w:val="00560ED8"/>
    <w:rsid w:val="0056748C"/>
    <w:rsid w:val="00595845"/>
    <w:rsid w:val="005A6FF5"/>
    <w:rsid w:val="006017C3"/>
    <w:rsid w:val="00637881"/>
    <w:rsid w:val="006B5971"/>
    <w:rsid w:val="006D1035"/>
    <w:rsid w:val="006F6CDD"/>
    <w:rsid w:val="007240B4"/>
    <w:rsid w:val="00762858"/>
    <w:rsid w:val="007B6418"/>
    <w:rsid w:val="00825F7C"/>
    <w:rsid w:val="008266D5"/>
    <w:rsid w:val="0084720A"/>
    <w:rsid w:val="008C0168"/>
    <w:rsid w:val="008C255D"/>
    <w:rsid w:val="008E7AED"/>
    <w:rsid w:val="008F1912"/>
    <w:rsid w:val="00903C9C"/>
    <w:rsid w:val="009508E1"/>
    <w:rsid w:val="00962916"/>
    <w:rsid w:val="0097237A"/>
    <w:rsid w:val="00973992"/>
    <w:rsid w:val="009869C8"/>
    <w:rsid w:val="009D7518"/>
    <w:rsid w:val="009E0D0B"/>
    <w:rsid w:val="00A54913"/>
    <w:rsid w:val="00A550C7"/>
    <w:rsid w:val="00AD5104"/>
    <w:rsid w:val="00AE5984"/>
    <w:rsid w:val="00B246FD"/>
    <w:rsid w:val="00B25B65"/>
    <w:rsid w:val="00B41CB4"/>
    <w:rsid w:val="00B47C2B"/>
    <w:rsid w:val="00BE6BC3"/>
    <w:rsid w:val="00C00474"/>
    <w:rsid w:val="00C02B92"/>
    <w:rsid w:val="00C37269"/>
    <w:rsid w:val="00C5272A"/>
    <w:rsid w:val="00C57936"/>
    <w:rsid w:val="00C71FFC"/>
    <w:rsid w:val="00C93C7C"/>
    <w:rsid w:val="00C97F0E"/>
    <w:rsid w:val="00CA1EEA"/>
    <w:rsid w:val="00D02688"/>
    <w:rsid w:val="00D026C2"/>
    <w:rsid w:val="00D03E94"/>
    <w:rsid w:val="00D05F7B"/>
    <w:rsid w:val="00D27A02"/>
    <w:rsid w:val="00D85E23"/>
    <w:rsid w:val="00DC06D2"/>
    <w:rsid w:val="00E02647"/>
    <w:rsid w:val="00E22DB5"/>
    <w:rsid w:val="00E90013"/>
    <w:rsid w:val="00E93AFF"/>
    <w:rsid w:val="00EA7F32"/>
    <w:rsid w:val="00EF5EF3"/>
    <w:rsid w:val="00F10898"/>
    <w:rsid w:val="00F441BC"/>
    <w:rsid w:val="00F5496E"/>
    <w:rsid w:val="00F61D2E"/>
    <w:rsid w:val="00F62E6B"/>
    <w:rsid w:val="00F8482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B6734B"/>
  <w14:defaultImageDpi w14:val="0"/>
  <w15:docId w15:val="{B2692C46-5702-46A6-AE8A-1037F422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041F3"/>
    <w:pPr>
      <w:ind w:left="708"/>
    </w:pPr>
  </w:style>
  <w:style w:type="character" w:styleId="Hyperlink">
    <w:name w:val="Hyperlink"/>
    <w:basedOn w:val="DefaultParagraphFont"/>
    <w:uiPriority w:val="99"/>
    <w:unhideWhenUsed/>
    <w:rsid w:val="002041F3"/>
    <w:rPr>
      <w:rFonts w:cs="Times New Roman"/>
      <w:color w:val="0000FF"/>
      <w:u w:val="single"/>
    </w:rPr>
  </w:style>
  <w:style w:type="paragraph" w:styleId="NormalWeb">
    <w:name w:val="Normal (Web)"/>
    <w:basedOn w:val="Normal"/>
    <w:uiPriority w:val="99"/>
    <w:unhideWhenUsed/>
    <w:rsid w:val="00C02B92"/>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4720A"/>
    <w:pPr>
      <w:tabs>
        <w:tab w:val="center" w:pos="4320"/>
        <w:tab w:val="right" w:pos="8640"/>
      </w:tabs>
    </w:pPr>
  </w:style>
  <w:style w:type="character" w:customStyle="1" w:styleId="HeaderChar">
    <w:name w:val="Header Char"/>
    <w:basedOn w:val="DefaultParagraphFont"/>
    <w:link w:val="Header"/>
    <w:uiPriority w:val="99"/>
    <w:locked/>
    <w:rsid w:val="0084720A"/>
    <w:rPr>
      <w:rFonts w:cs="Times New Roman"/>
    </w:rPr>
  </w:style>
  <w:style w:type="paragraph" w:styleId="Footer">
    <w:name w:val="footer"/>
    <w:basedOn w:val="Normal"/>
    <w:link w:val="FooterChar"/>
    <w:uiPriority w:val="99"/>
    <w:unhideWhenUsed/>
    <w:rsid w:val="0084720A"/>
    <w:pPr>
      <w:tabs>
        <w:tab w:val="center" w:pos="4320"/>
        <w:tab w:val="right" w:pos="8640"/>
      </w:tabs>
    </w:pPr>
  </w:style>
  <w:style w:type="character" w:customStyle="1" w:styleId="FooterChar">
    <w:name w:val="Footer Char"/>
    <w:basedOn w:val="DefaultParagraphFont"/>
    <w:link w:val="Footer"/>
    <w:uiPriority w:val="99"/>
    <w:locked/>
    <w:rsid w:val="0084720A"/>
    <w:rPr>
      <w:rFonts w:cs="Times New Roman"/>
    </w:rPr>
  </w:style>
  <w:style w:type="character" w:styleId="UnresolvedMention">
    <w:name w:val="Unresolved Mention"/>
    <w:basedOn w:val="DefaultParagraphFont"/>
    <w:uiPriority w:val="99"/>
    <w:semiHidden/>
    <w:unhideWhenUsed/>
    <w:rsid w:val="00C00474"/>
    <w:rPr>
      <w:rFonts w:cs="Times New Roman"/>
      <w:color w:val="605E5C"/>
      <w:shd w:val="clear" w:color="auto" w:fill="E1DFDD"/>
    </w:rPr>
  </w:style>
  <w:style w:type="character" w:styleId="FollowedHyperlink">
    <w:name w:val="FollowedHyperlink"/>
    <w:basedOn w:val="DefaultParagraphFont"/>
    <w:uiPriority w:val="99"/>
    <w:semiHidden/>
    <w:unhideWhenUsed/>
    <w:rsid w:val="00436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7493">
      <w:bodyDiv w:val="1"/>
      <w:marLeft w:val="0"/>
      <w:marRight w:val="0"/>
      <w:marTop w:val="0"/>
      <w:marBottom w:val="0"/>
      <w:divBdr>
        <w:top w:val="none" w:sz="0" w:space="0" w:color="auto"/>
        <w:left w:val="none" w:sz="0" w:space="0" w:color="auto"/>
        <w:bottom w:val="none" w:sz="0" w:space="0" w:color="auto"/>
        <w:right w:val="none" w:sz="0" w:space="0" w:color="auto"/>
      </w:divBdr>
    </w:div>
    <w:div w:id="720982596">
      <w:bodyDiv w:val="1"/>
      <w:marLeft w:val="0"/>
      <w:marRight w:val="0"/>
      <w:marTop w:val="0"/>
      <w:marBottom w:val="0"/>
      <w:divBdr>
        <w:top w:val="none" w:sz="0" w:space="0" w:color="auto"/>
        <w:left w:val="none" w:sz="0" w:space="0" w:color="auto"/>
        <w:bottom w:val="none" w:sz="0" w:space="0" w:color="auto"/>
        <w:right w:val="none" w:sz="0" w:space="0" w:color="auto"/>
      </w:divBdr>
    </w:div>
    <w:div w:id="952174351">
      <w:marLeft w:val="0"/>
      <w:marRight w:val="0"/>
      <w:marTop w:val="0"/>
      <w:marBottom w:val="0"/>
      <w:divBdr>
        <w:top w:val="none" w:sz="0" w:space="0" w:color="auto"/>
        <w:left w:val="none" w:sz="0" w:space="0" w:color="auto"/>
        <w:bottom w:val="none" w:sz="0" w:space="0" w:color="auto"/>
        <w:right w:val="none" w:sz="0" w:space="0" w:color="auto"/>
      </w:divBdr>
    </w:div>
    <w:div w:id="952174352">
      <w:marLeft w:val="0"/>
      <w:marRight w:val="0"/>
      <w:marTop w:val="0"/>
      <w:marBottom w:val="0"/>
      <w:divBdr>
        <w:top w:val="none" w:sz="0" w:space="0" w:color="auto"/>
        <w:left w:val="none" w:sz="0" w:space="0" w:color="auto"/>
        <w:bottom w:val="none" w:sz="0" w:space="0" w:color="auto"/>
        <w:right w:val="none" w:sz="0" w:space="0" w:color="auto"/>
      </w:divBdr>
    </w:div>
    <w:div w:id="17531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las.workland.com/work/67569/specialiste-registre-des-essais-cliniques-tm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4051</Characters>
  <Application>Microsoft Office Word</Application>
  <DocSecurity>0</DocSecurity>
  <Lines>79</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dauoli</dc:creator>
  <cp:keywords/>
  <dc:description/>
  <cp:lastModifiedBy>Tania Discenza</cp:lastModifiedBy>
  <cp:revision>5</cp:revision>
  <cp:lastPrinted>2025-10-29T18:47:00Z</cp:lastPrinted>
  <dcterms:created xsi:type="dcterms:W3CDTF">2025-11-04T16:52:00Z</dcterms:created>
  <dcterms:modified xsi:type="dcterms:W3CDTF">2025-11-13T19:10:00Z</dcterms:modified>
</cp:coreProperties>
</file>