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D18C" w14:textId="77777777" w:rsidR="00BC31D3" w:rsidRPr="00DC28A4" w:rsidRDefault="00BC31D3" w:rsidP="00BC31D3">
      <w:pPr>
        <w:pBdr>
          <w:bottom w:val="single" w:sz="6" w:space="1" w:color="auto"/>
        </w:pBdr>
        <w:rPr>
          <w:rFonts w:ascii="Aptos" w:hAnsi="Aptos" w:cs="Calibri"/>
          <w:sz w:val="20"/>
          <w:szCs w:val="20"/>
        </w:rPr>
      </w:pPr>
    </w:p>
    <w:p w14:paraId="1BEBC4EC" w14:textId="0875B240" w:rsidR="00BC31D3" w:rsidRPr="00D478EC" w:rsidRDefault="00BC31D3" w:rsidP="00BC31D3">
      <w:pPr>
        <w:pStyle w:val="Default"/>
        <w:spacing w:before="20"/>
        <w:jc w:val="center"/>
        <w:rPr>
          <w:rFonts w:ascii="Aptos" w:hAnsi="Aptos"/>
          <w:b/>
          <w:sz w:val="20"/>
          <w:szCs w:val="20"/>
        </w:rPr>
      </w:pPr>
      <w:r w:rsidRPr="00D478EC">
        <w:rPr>
          <w:rFonts w:ascii="Aptos" w:hAnsi="Aptos"/>
          <w:b/>
          <w:sz w:val="20"/>
          <w:szCs w:val="20"/>
        </w:rPr>
        <w:t xml:space="preserve">Spécialiste </w:t>
      </w:r>
      <w:r w:rsidR="005B4131">
        <w:rPr>
          <w:rFonts w:ascii="Aptos" w:hAnsi="Aptos"/>
          <w:b/>
          <w:sz w:val="20"/>
          <w:szCs w:val="20"/>
        </w:rPr>
        <w:t>du registre des essais cliniques (TMF)</w:t>
      </w:r>
      <w:r w:rsidRPr="00D478EC">
        <w:rPr>
          <w:rFonts w:ascii="Aptos" w:hAnsi="Aptos"/>
          <w:b/>
          <w:sz w:val="20"/>
          <w:szCs w:val="20"/>
        </w:rPr>
        <w:t xml:space="preserve"> – Phase I à IV</w:t>
      </w:r>
    </w:p>
    <w:p w14:paraId="3EEE5C23" w14:textId="77777777" w:rsidR="00BC31D3" w:rsidRPr="00D478EC" w:rsidRDefault="00BC31D3" w:rsidP="00BC31D3">
      <w:pPr>
        <w:pStyle w:val="Default"/>
        <w:spacing w:before="20"/>
        <w:jc w:val="center"/>
        <w:rPr>
          <w:rFonts w:ascii="Aptos" w:hAnsi="Aptos"/>
          <w:sz w:val="20"/>
          <w:szCs w:val="20"/>
        </w:rPr>
      </w:pPr>
      <w:r w:rsidRPr="00D478EC">
        <w:rPr>
          <w:rFonts w:ascii="Aptos" w:hAnsi="Aptos"/>
          <w:sz w:val="20"/>
          <w:szCs w:val="20"/>
        </w:rPr>
        <w:t>Position ouverte aux citoyens/résidents canadiens ou détenteurs de permis de travail canadien</w:t>
      </w:r>
    </w:p>
    <w:p w14:paraId="595192B7" w14:textId="77777777" w:rsidR="00BC31D3" w:rsidRPr="00D478EC" w:rsidRDefault="00BC31D3" w:rsidP="00BC31D3">
      <w:pPr>
        <w:pStyle w:val="Default"/>
        <w:spacing w:before="20"/>
        <w:jc w:val="center"/>
        <w:rPr>
          <w:rFonts w:ascii="Aptos" w:hAnsi="Aptos"/>
          <w:sz w:val="20"/>
          <w:szCs w:val="20"/>
        </w:rPr>
      </w:pPr>
      <w:r w:rsidRPr="00D478EC">
        <w:rPr>
          <w:rFonts w:ascii="Aptos" w:hAnsi="Aptos"/>
          <w:sz w:val="20"/>
          <w:szCs w:val="20"/>
        </w:rPr>
        <w:t>Temps complet</w:t>
      </w:r>
    </w:p>
    <w:p w14:paraId="297654D1" w14:textId="77777777" w:rsidR="00BC31D3" w:rsidRPr="00D478EC" w:rsidRDefault="00000000" w:rsidP="00BC31D3">
      <w:pPr>
        <w:pStyle w:val="Default"/>
        <w:rPr>
          <w:rFonts w:ascii="Aptos" w:hAnsi="Aptos"/>
          <w:sz w:val="20"/>
          <w:szCs w:val="20"/>
        </w:rPr>
      </w:pPr>
      <w:r>
        <w:rPr>
          <w:rFonts w:ascii="Aptos" w:hAnsi="Aptos"/>
          <w:sz w:val="20"/>
          <w:szCs w:val="20"/>
        </w:rPr>
        <w:pict w14:anchorId="32075F1E">
          <v:rect id="_x0000_i1025" style="width:0;height:1.5pt" o:hralign="center" o:hrstd="t" o:hr="t" fillcolor="#a0a0a0" stroked="f"/>
        </w:pict>
      </w:r>
    </w:p>
    <w:p w14:paraId="53C6A891" w14:textId="77777777" w:rsidR="006B0C60" w:rsidRPr="00D478EC" w:rsidRDefault="006B0C60" w:rsidP="006B0C60">
      <w:pPr>
        <w:pStyle w:val="Default"/>
        <w:rPr>
          <w:rStyle w:val="cf01"/>
          <w:rFonts w:ascii="Aptos" w:hAnsi="Aptos" w:cs="Segoe UI"/>
          <w:sz w:val="20"/>
          <w:szCs w:val="20"/>
        </w:rPr>
      </w:pPr>
      <w:r w:rsidRPr="00D478EC">
        <w:rPr>
          <w:rStyle w:val="cf01"/>
          <w:rFonts w:ascii="Aptos" w:hAnsi="Aptos" w:cs="Segoe UI"/>
          <w:sz w:val="20"/>
          <w:szCs w:val="20"/>
        </w:rPr>
        <w:t>Seriant, une division de l’Institut de cardiologie de Montréal, est une organisation de recherche clinique qui offre des services complets à l’industrie pharmaceutique et biotechnologique, ainsi qu'au milieu académique. Basé à Montréal, nous opérons à l'international, couvrant toutes les phases des essais cliniques, et ce, dans une vaste gamme de champs thérapeutiques. Fort de notre expérience dans le développement de thérapies innovantes, nous créons un impact significatif pour les personnes à travers le monde.</w:t>
      </w:r>
    </w:p>
    <w:p w14:paraId="5480E742" w14:textId="77777777" w:rsidR="006B0C60" w:rsidRPr="00D478EC" w:rsidRDefault="006B0C60" w:rsidP="00BC31D3">
      <w:pPr>
        <w:pStyle w:val="Default"/>
        <w:rPr>
          <w:rFonts w:ascii="Aptos" w:hAnsi="Aptos"/>
          <w:sz w:val="20"/>
          <w:szCs w:val="20"/>
          <w:lang w:val="fr-FR"/>
        </w:rPr>
      </w:pPr>
    </w:p>
    <w:p w14:paraId="1CB4F8B3" w14:textId="6556F84F" w:rsidR="00BC31D3" w:rsidRPr="00D478EC" w:rsidRDefault="00BC31D3" w:rsidP="00BC31D3">
      <w:pPr>
        <w:pStyle w:val="Default"/>
        <w:rPr>
          <w:rFonts w:ascii="Aptos" w:hAnsi="Aptos"/>
          <w:sz w:val="20"/>
          <w:szCs w:val="20"/>
          <w:lang w:val="fr-FR"/>
        </w:rPr>
      </w:pPr>
      <w:r w:rsidRPr="00D478EC">
        <w:rPr>
          <w:rFonts w:ascii="Aptos" w:hAnsi="Aptos"/>
          <w:sz w:val="20"/>
          <w:szCs w:val="20"/>
          <w:lang w:val="fr-FR"/>
        </w:rPr>
        <w:t>Nous croyons que les grands esprits changent le monde. Nous recherchons des passionnés pour aider à gérer et soutenir des études cliniques qui améliorent les soins de santé et ont un impact durable. Tout comme nous transformons des vies grâce à la recherche, nous enrichissons celles de nos employés avec des avantages qui font la différence. Votre contribution est précieuse, votre croissance est valorisée et votre impact est réel. Joignez-vous à nous et mettez vos compétences à l’honneur.</w:t>
      </w:r>
    </w:p>
    <w:p w14:paraId="65B5A95E" w14:textId="77777777" w:rsidR="00BC31D3" w:rsidRPr="00D478EC" w:rsidRDefault="00BC31D3" w:rsidP="00BC31D3">
      <w:pPr>
        <w:pStyle w:val="Default"/>
        <w:rPr>
          <w:rFonts w:ascii="Aptos" w:hAnsi="Aptos"/>
          <w:sz w:val="20"/>
          <w:szCs w:val="20"/>
        </w:rPr>
      </w:pPr>
    </w:p>
    <w:p w14:paraId="052F59C9" w14:textId="77777777" w:rsidR="00BC31D3" w:rsidRPr="00D478EC" w:rsidRDefault="00BC31D3" w:rsidP="00BC31D3">
      <w:pPr>
        <w:pStyle w:val="Default"/>
        <w:jc w:val="both"/>
        <w:rPr>
          <w:rFonts w:ascii="Aptos" w:hAnsi="Aptos"/>
          <w:b/>
          <w:bCs/>
          <w:sz w:val="20"/>
          <w:szCs w:val="20"/>
        </w:rPr>
      </w:pPr>
      <w:r w:rsidRPr="00D478EC">
        <w:rPr>
          <w:rFonts w:ascii="Aptos" w:hAnsi="Aptos"/>
          <w:b/>
          <w:bCs/>
          <w:sz w:val="20"/>
          <w:szCs w:val="20"/>
        </w:rPr>
        <w:t xml:space="preserve">PRINCIPALES RESPONSABILITÉS </w:t>
      </w:r>
    </w:p>
    <w:p w14:paraId="0494374F"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Aide l’administrateur système de TMF pour la gestion de l’accès aux utilisateurs, la mise en place, la maintenance et le suivi des dossiers qui s’y retrouvent pour chaque étude assignée ; </w:t>
      </w:r>
    </w:p>
    <w:p w14:paraId="451A8985"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Dépose les documents dans les sections désignées du TMF, le gardant à jour pour une éventuelle l’inspection ou un audit ; </w:t>
      </w:r>
    </w:p>
    <w:p w14:paraId="261A9985"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Participe au contrôle de la qualité des documents (papier et/ou électroniques) soumis au TMF ;</w:t>
      </w:r>
    </w:p>
    <w:p w14:paraId="658053DD"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Effectue des vérifications de la qualité du TMF conformément au TMF Plan du projet afin d’assurer l’exactitude, l’uniformité, et la qualité des documents ;</w:t>
      </w:r>
    </w:p>
    <w:p w14:paraId="071E293E"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Collabore étroitement avec les équipes interfonctionnelles pour assurer la soumission et la récupération en temps opportun des documents essentiels ;</w:t>
      </w:r>
    </w:p>
    <w:p w14:paraId="2B20EED7"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Identifie les risques liés au TMF et assure la conformité aux exigences internes et réglementaires ;</w:t>
      </w:r>
    </w:p>
    <w:p w14:paraId="2977743D"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Gère la résolution des problèmes liés au TMF et agit comme point de contact pour les questions de l’équipe ;</w:t>
      </w:r>
    </w:p>
    <w:p w14:paraId="66B32299"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Collabore avec les membres de l’équipe pour corriger les erreurs de classement ou les documents manquants ;</w:t>
      </w:r>
    </w:p>
    <w:p w14:paraId="01432AA4"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Aide au transfert du TMF final aux parties désignées ;</w:t>
      </w:r>
    </w:p>
    <w:p w14:paraId="08C78E01"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Éduque et soutient les membres de l’équipe d’étude sur les responsabilités liées au TMF et les erreurs à éviter ; </w:t>
      </w:r>
    </w:p>
    <w:p w14:paraId="6A9F6739"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Supervise la gestion proactive de la documentation clinique et des tableaux connexes, en veillant à ce que toute la documentation soit à jour, conforme et facilement accessible ; </w:t>
      </w:r>
    </w:p>
    <w:p w14:paraId="0047D728"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Participe à l’amélioration des processus de gestion du TMF, y compris l’élaboration et la mise à jour des PON, des lignes directrices et du matériel de formation, au besoin ; </w:t>
      </w:r>
    </w:p>
    <w:p w14:paraId="5F15C271"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Collabore avec les membres de l’équipe d’étude pour mettre en œuvre des initiatives de CQ pour les activités reliées au TMF ;</w:t>
      </w:r>
    </w:p>
    <w:p w14:paraId="60D149A2"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Participe à la préparation et au déroulement des inspections et audits réglementaires en ce qui concerne la documentation clinique et le TMF ;</w:t>
      </w:r>
    </w:p>
    <w:p w14:paraId="5802B93F"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Fournit des rapports d’étape, des tableaux de suivi et des mesures de performance (réunions avec les clients, présentations) ;</w:t>
      </w:r>
    </w:p>
    <w:p w14:paraId="7B898737"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Identifie les tendances eTMF et les erreurs les plus courantes ; </w:t>
      </w:r>
    </w:p>
    <w:p w14:paraId="6615474F"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Maintient une communication efficace avec les intervenants internes et externes ;</w:t>
      </w:r>
    </w:p>
    <w:p w14:paraId="595D8521"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lang w:val="fr-FR"/>
        </w:rPr>
      </w:pPr>
      <w:r w:rsidRPr="00D478EC">
        <w:rPr>
          <w:rFonts w:ascii="Aptos" w:hAnsi="Aptos" w:cs="Aptos"/>
          <w:sz w:val="20"/>
          <w:szCs w:val="20"/>
          <w:lang w:val="fr-FR"/>
        </w:rPr>
        <w:t xml:space="preserve">Fournit une formation et un soutien TMF aux membres de l’équipe d’étude ; </w:t>
      </w:r>
    </w:p>
    <w:p w14:paraId="73C91E40" w14:textId="77777777" w:rsidR="00BC31D3" w:rsidRPr="00D478EC" w:rsidRDefault="00BC31D3" w:rsidP="00BC31D3">
      <w:pPr>
        <w:pStyle w:val="ListParagraph"/>
        <w:numPr>
          <w:ilvl w:val="0"/>
          <w:numId w:val="3"/>
        </w:numPr>
        <w:spacing w:after="0" w:line="240" w:lineRule="auto"/>
        <w:ind w:left="426" w:hanging="284"/>
        <w:contextualSpacing w:val="0"/>
        <w:jc w:val="both"/>
        <w:rPr>
          <w:rFonts w:ascii="Aptos" w:hAnsi="Aptos" w:cs="Aptos"/>
          <w:sz w:val="20"/>
          <w:szCs w:val="20"/>
        </w:rPr>
      </w:pPr>
      <w:r w:rsidRPr="00D478EC">
        <w:rPr>
          <w:rFonts w:ascii="Aptos" w:hAnsi="Aptos" w:cs="Aptos"/>
          <w:sz w:val="20"/>
          <w:szCs w:val="20"/>
          <w:lang w:val="fr-FR"/>
        </w:rPr>
        <w:t xml:space="preserve">S’acquitte d’autres tâches assignées par le </w:t>
      </w:r>
      <w:r w:rsidRPr="00D478EC">
        <w:rPr>
          <w:rFonts w:ascii="Aptos" w:hAnsi="Aptos" w:cs="Aptos"/>
          <w:sz w:val="20"/>
          <w:szCs w:val="20"/>
        </w:rPr>
        <w:t>Responsable de la Surveillance et Soutien Clinique.</w:t>
      </w:r>
    </w:p>
    <w:p w14:paraId="059A603C" w14:textId="77777777" w:rsidR="00BC31D3" w:rsidRPr="00D478EC" w:rsidRDefault="00BC31D3" w:rsidP="00BC31D3">
      <w:pPr>
        <w:pStyle w:val="ListParagraph"/>
        <w:spacing w:after="0" w:line="240" w:lineRule="auto"/>
        <w:jc w:val="both"/>
        <w:rPr>
          <w:rFonts w:ascii="Aptos" w:hAnsi="Aptos" w:cs="Aptos"/>
          <w:sz w:val="20"/>
          <w:szCs w:val="20"/>
        </w:rPr>
      </w:pPr>
    </w:p>
    <w:p w14:paraId="6B869410" w14:textId="77777777" w:rsidR="00BC31D3" w:rsidRPr="00D478EC" w:rsidRDefault="00BC31D3" w:rsidP="00BC31D3">
      <w:pPr>
        <w:pStyle w:val="ListParagraph"/>
        <w:spacing w:after="0" w:line="240" w:lineRule="auto"/>
        <w:jc w:val="both"/>
        <w:rPr>
          <w:rFonts w:ascii="Aptos" w:hAnsi="Aptos" w:cs="Aptos"/>
          <w:sz w:val="20"/>
          <w:szCs w:val="20"/>
        </w:rPr>
      </w:pPr>
    </w:p>
    <w:p w14:paraId="24EB2226" w14:textId="77777777" w:rsidR="00BC31D3" w:rsidRPr="00D478EC" w:rsidRDefault="00BC31D3" w:rsidP="00BC31D3">
      <w:pPr>
        <w:pStyle w:val="Default"/>
        <w:ind w:left="720"/>
        <w:jc w:val="both"/>
        <w:rPr>
          <w:rFonts w:ascii="Aptos" w:hAnsi="Aptos"/>
          <w:sz w:val="20"/>
          <w:szCs w:val="20"/>
        </w:rPr>
      </w:pPr>
    </w:p>
    <w:p w14:paraId="6B89DADA" w14:textId="77777777" w:rsidR="00BC31D3" w:rsidRPr="00D478EC" w:rsidRDefault="00BC31D3" w:rsidP="00BC31D3">
      <w:pPr>
        <w:pStyle w:val="Default"/>
        <w:jc w:val="both"/>
        <w:rPr>
          <w:rFonts w:ascii="Aptos" w:hAnsi="Aptos"/>
          <w:sz w:val="20"/>
          <w:szCs w:val="20"/>
        </w:rPr>
      </w:pPr>
      <w:r w:rsidRPr="00D478EC">
        <w:rPr>
          <w:rFonts w:ascii="Aptos" w:hAnsi="Aptos"/>
          <w:b/>
          <w:bCs/>
          <w:sz w:val="20"/>
          <w:szCs w:val="20"/>
        </w:rPr>
        <w:t xml:space="preserve">EXIGENCES  </w:t>
      </w:r>
    </w:p>
    <w:p w14:paraId="229DCF3D" w14:textId="77777777" w:rsidR="00BC31D3" w:rsidRPr="00D478EC" w:rsidRDefault="00BC31D3" w:rsidP="00BC31D3">
      <w:pPr>
        <w:pStyle w:val="ListParagraph"/>
        <w:numPr>
          <w:ilvl w:val="0"/>
          <w:numId w:val="4"/>
        </w:numPr>
        <w:shd w:val="clear" w:color="auto" w:fill="FFFFFF"/>
        <w:spacing w:after="240" w:line="240" w:lineRule="auto"/>
        <w:ind w:left="426" w:hanging="284"/>
        <w:rPr>
          <w:rFonts w:ascii="Aptos" w:hAnsi="Aptos" w:cs="Aptos"/>
          <w:color w:val="000000"/>
          <w:sz w:val="20"/>
          <w:szCs w:val="20"/>
          <w:lang w:eastAsia="en-CA"/>
        </w:rPr>
      </w:pPr>
      <w:r w:rsidRPr="00D478EC">
        <w:rPr>
          <w:rFonts w:ascii="Aptos" w:hAnsi="Aptos" w:cs="Aptos"/>
          <w:color w:val="000000"/>
          <w:sz w:val="20"/>
          <w:szCs w:val="20"/>
          <w:lang w:eastAsia="en-CA"/>
        </w:rPr>
        <w:t>Baccalauréat en sciences, administration ou l’équivalent (</w:t>
      </w:r>
      <w:r w:rsidRPr="00D478EC">
        <w:rPr>
          <w:rFonts w:ascii="Aptos" w:hAnsi="Aptos" w:cs="Aptos"/>
          <w:b/>
          <w:bCs/>
          <w:color w:val="000000"/>
          <w:sz w:val="20"/>
          <w:szCs w:val="20"/>
          <w:lang w:eastAsia="en-CA"/>
        </w:rPr>
        <w:t>obligatoire</w:t>
      </w:r>
      <w:r w:rsidRPr="00D478EC">
        <w:rPr>
          <w:rFonts w:ascii="Aptos" w:hAnsi="Aptos" w:cs="Aptos"/>
          <w:color w:val="000000"/>
          <w:sz w:val="20"/>
          <w:szCs w:val="20"/>
          <w:lang w:eastAsia="en-CA"/>
        </w:rPr>
        <w:t>);</w:t>
      </w:r>
    </w:p>
    <w:p w14:paraId="1B241C52" w14:textId="77777777" w:rsidR="00BC31D3" w:rsidRPr="00D478EC" w:rsidRDefault="00BC31D3" w:rsidP="00BC31D3">
      <w:pPr>
        <w:pStyle w:val="ListParagraph"/>
        <w:numPr>
          <w:ilvl w:val="0"/>
          <w:numId w:val="4"/>
        </w:numPr>
        <w:shd w:val="clear" w:color="auto" w:fill="FFFFFF"/>
        <w:spacing w:after="240" w:line="240" w:lineRule="auto"/>
        <w:ind w:left="426" w:hanging="284"/>
        <w:rPr>
          <w:rFonts w:ascii="Aptos" w:hAnsi="Aptos" w:cs="Aptos"/>
          <w:color w:val="000000"/>
          <w:sz w:val="20"/>
          <w:szCs w:val="20"/>
          <w:lang w:eastAsia="en-CA"/>
        </w:rPr>
      </w:pPr>
      <w:r w:rsidRPr="00D478EC">
        <w:rPr>
          <w:rFonts w:ascii="Aptos" w:hAnsi="Aptos" w:cs="Aptos"/>
          <w:color w:val="000000"/>
          <w:sz w:val="20"/>
          <w:szCs w:val="20"/>
          <w:lang w:eastAsia="en-CA"/>
        </w:rPr>
        <w:t>Parfait bilinguismes parlé et écrit français/anglais (</w:t>
      </w:r>
      <w:r w:rsidRPr="00D478EC">
        <w:rPr>
          <w:rFonts w:ascii="Aptos" w:hAnsi="Aptos" w:cs="Aptos"/>
          <w:b/>
          <w:bCs/>
          <w:color w:val="000000"/>
          <w:sz w:val="20"/>
          <w:szCs w:val="20"/>
          <w:lang w:eastAsia="en-CA"/>
        </w:rPr>
        <w:t>obligatoire et tests à réussir</w:t>
      </w:r>
      <w:r w:rsidRPr="00D478EC">
        <w:rPr>
          <w:rFonts w:ascii="Aptos" w:hAnsi="Aptos" w:cs="Aptos"/>
          <w:color w:val="000000"/>
          <w:sz w:val="20"/>
          <w:szCs w:val="20"/>
          <w:lang w:eastAsia="en-CA"/>
        </w:rPr>
        <w:t>);</w:t>
      </w:r>
    </w:p>
    <w:p w14:paraId="535F425D" w14:textId="77777777" w:rsidR="00BC31D3" w:rsidRPr="00D478EC" w:rsidRDefault="00BC31D3" w:rsidP="00BC31D3">
      <w:pPr>
        <w:pStyle w:val="ListParagraph"/>
        <w:numPr>
          <w:ilvl w:val="0"/>
          <w:numId w:val="4"/>
        </w:numPr>
        <w:shd w:val="clear" w:color="auto" w:fill="FFFFFF"/>
        <w:spacing w:after="240" w:line="240" w:lineRule="auto"/>
        <w:ind w:left="426" w:hanging="284"/>
        <w:rPr>
          <w:rFonts w:ascii="Aptos" w:hAnsi="Aptos" w:cs="Aptos"/>
          <w:color w:val="000000"/>
          <w:sz w:val="20"/>
          <w:szCs w:val="20"/>
          <w:lang w:eastAsia="en-CA"/>
        </w:rPr>
      </w:pPr>
      <w:r w:rsidRPr="00D478EC">
        <w:rPr>
          <w:rFonts w:ascii="Aptos" w:hAnsi="Aptos" w:cs="Aptos"/>
          <w:color w:val="000000"/>
          <w:sz w:val="20"/>
          <w:szCs w:val="20"/>
        </w:rPr>
        <w:t>Minimum d’un (1) an d’expérience en recherche clinique et un minimum de deux (2) ans d’expérience en gestion et archivage de documentation clinique en milieu pharmaceutique/biotechnologique ou dans un organisme de recherche contractuelle.</w:t>
      </w:r>
    </w:p>
    <w:p w14:paraId="0881DC0E" w14:textId="77777777" w:rsidR="00BC31D3" w:rsidRPr="00D478EC" w:rsidRDefault="00BC31D3" w:rsidP="00BC31D3">
      <w:pPr>
        <w:pStyle w:val="Default"/>
        <w:ind w:left="360"/>
        <w:jc w:val="both"/>
        <w:rPr>
          <w:rFonts w:ascii="Aptos" w:hAnsi="Aptos"/>
          <w:sz w:val="20"/>
          <w:szCs w:val="20"/>
        </w:rPr>
      </w:pPr>
    </w:p>
    <w:p w14:paraId="78E3B8A2" w14:textId="77777777" w:rsidR="00BC31D3" w:rsidRPr="00D478EC" w:rsidRDefault="00BC31D3" w:rsidP="00BC31D3">
      <w:pPr>
        <w:pStyle w:val="Default"/>
        <w:rPr>
          <w:rFonts w:ascii="Aptos" w:hAnsi="Aptos"/>
          <w:bCs/>
          <w:color w:val="auto"/>
          <w:sz w:val="20"/>
          <w:szCs w:val="20"/>
        </w:rPr>
      </w:pPr>
      <w:r w:rsidRPr="00D478EC">
        <w:rPr>
          <w:rFonts w:ascii="Aptos" w:hAnsi="Aptos"/>
          <w:b/>
          <w:bCs/>
          <w:sz w:val="20"/>
          <w:szCs w:val="20"/>
        </w:rPr>
        <w:t xml:space="preserve">COMPÉTENCES RECHERCHÉES </w:t>
      </w:r>
    </w:p>
    <w:p w14:paraId="532F1DDB" w14:textId="77777777" w:rsidR="00BC31D3" w:rsidRPr="00D478EC" w:rsidRDefault="00BC31D3" w:rsidP="00BC31D3">
      <w:pPr>
        <w:pStyle w:val="Default"/>
        <w:numPr>
          <w:ilvl w:val="0"/>
          <w:numId w:val="5"/>
        </w:numPr>
        <w:ind w:left="426" w:hanging="284"/>
        <w:jc w:val="both"/>
        <w:rPr>
          <w:rFonts w:ascii="Aptos" w:hAnsi="Aptos" w:cs="Aptos"/>
          <w:sz w:val="20"/>
          <w:szCs w:val="20"/>
        </w:rPr>
      </w:pPr>
      <w:r w:rsidRPr="00D478EC">
        <w:rPr>
          <w:rFonts w:ascii="Aptos" w:hAnsi="Aptos" w:cs="Aptos"/>
          <w:sz w:val="20"/>
          <w:szCs w:val="20"/>
        </w:rPr>
        <w:t>Haut niveau d’attention aux détails;</w:t>
      </w:r>
    </w:p>
    <w:p w14:paraId="51992FE7" w14:textId="77777777" w:rsidR="00BC31D3" w:rsidRPr="00D478EC" w:rsidRDefault="00BC31D3" w:rsidP="00BC31D3">
      <w:pPr>
        <w:pStyle w:val="Default"/>
        <w:numPr>
          <w:ilvl w:val="0"/>
          <w:numId w:val="5"/>
        </w:numPr>
        <w:ind w:left="426" w:hanging="284"/>
        <w:jc w:val="both"/>
        <w:rPr>
          <w:rFonts w:ascii="Aptos" w:hAnsi="Aptos" w:cs="Aptos"/>
          <w:sz w:val="20"/>
          <w:szCs w:val="20"/>
        </w:rPr>
      </w:pPr>
      <w:r w:rsidRPr="00D478EC">
        <w:rPr>
          <w:rFonts w:ascii="Aptos" w:hAnsi="Aptos" w:cs="Aptos"/>
          <w:sz w:val="20"/>
          <w:szCs w:val="20"/>
        </w:rPr>
        <w:t xml:space="preserve">Excellentes compétences analytiques et de résolution de problèmes; </w:t>
      </w:r>
    </w:p>
    <w:p w14:paraId="7CCF867C" w14:textId="77777777" w:rsidR="00BC31D3" w:rsidRPr="00D478EC" w:rsidRDefault="00BC31D3" w:rsidP="00BC31D3">
      <w:pPr>
        <w:pStyle w:val="Default"/>
        <w:numPr>
          <w:ilvl w:val="0"/>
          <w:numId w:val="5"/>
        </w:numPr>
        <w:ind w:left="426" w:hanging="284"/>
        <w:jc w:val="both"/>
        <w:rPr>
          <w:rFonts w:ascii="Aptos" w:hAnsi="Aptos"/>
          <w:sz w:val="20"/>
          <w:szCs w:val="20"/>
        </w:rPr>
      </w:pPr>
      <w:r w:rsidRPr="00D478EC">
        <w:rPr>
          <w:rFonts w:ascii="Aptos" w:hAnsi="Aptos"/>
          <w:sz w:val="20"/>
          <w:szCs w:val="20"/>
        </w:rPr>
        <w:t>Capacité à établir efficacement les priorités;</w:t>
      </w:r>
    </w:p>
    <w:p w14:paraId="40672D85" w14:textId="77777777" w:rsidR="00BC31D3" w:rsidRPr="00D478EC" w:rsidRDefault="00BC31D3" w:rsidP="00BC31D3">
      <w:pPr>
        <w:pStyle w:val="ListParagraph"/>
        <w:numPr>
          <w:ilvl w:val="0"/>
          <w:numId w:val="5"/>
        </w:numPr>
        <w:shd w:val="clear" w:color="auto" w:fill="FFFFFF"/>
        <w:spacing w:after="240" w:line="240" w:lineRule="auto"/>
        <w:ind w:left="426" w:hanging="284"/>
        <w:rPr>
          <w:rFonts w:ascii="Aptos" w:hAnsi="Aptos" w:cs="Calibri"/>
          <w:color w:val="000000"/>
          <w:sz w:val="20"/>
          <w:szCs w:val="20"/>
          <w:lang w:eastAsia="en-CA"/>
        </w:rPr>
      </w:pPr>
      <w:r w:rsidRPr="00D478EC">
        <w:rPr>
          <w:rFonts w:ascii="Aptos" w:hAnsi="Aptos" w:cs="Calibri"/>
          <w:color w:val="000000"/>
          <w:sz w:val="20"/>
          <w:szCs w:val="20"/>
        </w:rPr>
        <w:t xml:space="preserve">Solides compétences organisationnelles, interpersonnelles et en travail d’équipe; </w:t>
      </w:r>
    </w:p>
    <w:p w14:paraId="514A2580" w14:textId="77777777" w:rsidR="00BC31D3" w:rsidRPr="00D478EC" w:rsidRDefault="00BC31D3" w:rsidP="00BC31D3">
      <w:pPr>
        <w:pStyle w:val="ListParagraph"/>
        <w:numPr>
          <w:ilvl w:val="0"/>
          <w:numId w:val="5"/>
        </w:numPr>
        <w:shd w:val="clear" w:color="auto" w:fill="FFFFFF"/>
        <w:spacing w:after="240" w:line="240" w:lineRule="auto"/>
        <w:ind w:left="426" w:hanging="284"/>
        <w:rPr>
          <w:rFonts w:ascii="Aptos" w:hAnsi="Aptos" w:cs="Calibri"/>
          <w:color w:val="000000"/>
          <w:sz w:val="20"/>
          <w:szCs w:val="20"/>
          <w:lang w:eastAsia="en-CA"/>
        </w:rPr>
      </w:pPr>
      <w:r w:rsidRPr="00D478EC">
        <w:rPr>
          <w:rFonts w:ascii="Aptos" w:hAnsi="Aptos" w:cs="Calibri"/>
          <w:color w:val="000000"/>
          <w:sz w:val="20"/>
          <w:szCs w:val="20"/>
        </w:rPr>
        <w:t xml:space="preserve">Capacité à initier les tâches assignées et à travailler de manière indépendante; </w:t>
      </w:r>
    </w:p>
    <w:p w14:paraId="248D85B4" w14:textId="77777777" w:rsidR="00BC31D3" w:rsidRPr="00D478EC" w:rsidRDefault="00BC31D3" w:rsidP="00BC31D3">
      <w:pPr>
        <w:pStyle w:val="ListParagraph"/>
        <w:numPr>
          <w:ilvl w:val="0"/>
          <w:numId w:val="5"/>
        </w:numPr>
        <w:shd w:val="clear" w:color="auto" w:fill="FFFFFF"/>
        <w:spacing w:after="240" w:line="240" w:lineRule="auto"/>
        <w:ind w:left="426" w:hanging="284"/>
        <w:rPr>
          <w:rFonts w:ascii="Aptos" w:hAnsi="Aptos" w:cs="Calibri"/>
          <w:color w:val="000000"/>
          <w:sz w:val="20"/>
          <w:szCs w:val="20"/>
          <w:lang w:eastAsia="en-CA"/>
        </w:rPr>
      </w:pPr>
      <w:r w:rsidRPr="00D478EC">
        <w:rPr>
          <w:rFonts w:ascii="Aptos" w:hAnsi="Aptos" w:cs="Calibri"/>
          <w:color w:val="000000"/>
          <w:sz w:val="20"/>
          <w:szCs w:val="20"/>
          <w:lang w:eastAsia="en-CA"/>
        </w:rPr>
        <w:t xml:space="preserve">Compétences approfondies sur MS Office (Word, Excel, et PowerPoint) - </w:t>
      </w:r>
      <w:r w:rsidRPr="00D478EC">
        <w:rPr>
          <w:rFonts w:ascii="Aptos" w:hAnsi="Aptos" w:cs="Calibri"/>
          <w:b/>
          <w:bCs/>
          <w:color w:val="000000"/>
          <w:sz w:val="20"/>
          <w:szCs w:val="20"/>
          <w:lang w:eastAsia="en-CA"/>
        </w:rPr>
        <w:t>tests à réussir en Word &amp; Excel</w:t>
      </w:r>
    </w:p>
    <w:p w14:paraId="644F1AF0" w14:textId="77777777" w:rsidR="00BC31D3" w:rsidRPr="00D478EC" w:rsidRDefault="00BC31D3" w:rsidP="00BC31D3">
      <w:pPr>
        <w:pStyle w:val="Default"/>
        <w:ind w:left="720"/>
        <w:rPr>
          <w:rFonts w:ascii="Aptos" w:hAnsi="Aptos"/>
          <w:sz w:val="20"/>
          <w:szCs w:val="20"/>
        </w:rPr>
      </w:pPr>
    </w:p>
    <w:p w14:paraId="49C94D24" w14:textId="77777777" w:rsidR="00BC31D3" w:rsidRPr="00D478EC" w:rsidRDefault="00BC31D3" w:rsidP="00BC31D3">
      <w:pPr>
        <w:pStyle w:val="Default"/>
        <w:rPr>
          <w:rFonts w:ascii="Aptos" w:hAnsi="Aptos"/>
          <w:b/>
          <w:bCs/>
          <w:sz w:val="20"/>
          <w:szCs w:val="20"/>
        </w:rPr>
      </w:pPr>
      <w:r w:rsidRPr="00D478EC">
        <w:rPr>
          <w:rFonts w:ascii="Aptos" w:hAnsi="Aptos"/>
          <w:b/>
          <w:bCs/>
          <w:sz w:val="20"/>
          <w:szCs w:val="20"/>
        </w:rPr>
        <w:t xml:space="preserve">CONDITIONS DE TRAVAIL </w:t>
      </w:r>
    </w:p>
    <w:p w14:paraId="4AA143C1" w14:textId="77777777" w:rsidR="00BC31D3" w:rsidRPr="00D478EC" w:rsidRDefault="00BC31D3" w:rsidP="00BC31D3">
      <w:pPr>
        <w:pStyle w:val="Default"/>
        <w:rPr>
          <w:rFonts w:ascii="Aptos" w:hAnsi="Aptos"/>
          <w:sz w:val="20"/>
          <w:szCs w:val="20"/>
        </w:rPr>
      </w:pPr>
    </w:p>
    <w:p w14:paraId="27B12F9C"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Semaine de 35 heures</w:t>
      </w:r>
    </w:p>
    <w:p w14:paraId="537C4E1C"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Temps supplémentaire rémunéré lorsque préalablement approuvé</w:t>
      </w:r>
    </w:p>
    <w:p w14:paraId="62CD6B3A"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Horaire flexible pour conciliation travail-famille</w:t>
      </w:r>
    </w:p>
    <w:p w14:paraId="7D976EDA"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Modèle hybride (télétravail et en présence)</w:t>
      </w:r>
    </w:p>
    <w:p w14:paraId="358498C8"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4 semaines de vacances après un an de service</w:t>
      </w:r>
    </w:p>
    <w:p w14:paraId="3AE6069A"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13 journées fériées par année</w:t>
      </w:r>
    </w:p>
    <w:p w14:paraId="25980289"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RREGOP (Régime de retraite des employés du gouvernement)</w:t>
      </w:r>
    </w:p>
    <w:p w14:paraId="53A60B46"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Assurance de groupe</w:t>
      </w:r>
    </w:p>
    <w:p w14:paraId="240B5D8A" w14:textId="77777777" w:rsidR="00BC31D3" w:rsidRPr="00D478EC" w:rsidRDefault="00BC31D3" w:rsidP="00BC31D3">
      <w:pPr>
        <w:numPr>
          <w:ilvl w:val="0"/>
          <w:numId w:val="1"/>
        </w:numPr>
        <w:spacing w:after="0" w:line="240" w:lineRule="auto"/>
        <w:jc w:val="both"/>
        <w:rPr>
          <w:rFonts w:ascii="Aptos" w:hAnsi="Aptos" w:cs="Calibri"/>
          <w:sz w:val="20"/>
          <w:szCs w:val="20"/>
        </w:rPr>
      </w:pPr>
      <w:r w:rsidRPr="00D478EC">
        <w:rPr>
          <w:rFonts w:ascii="Aptos" w:hAnsi="Aptos" w:cs="Calibri"/>
          <w:sz w:val="20"/>
          <w:szCs w:val="20"/>
        </w:rPr>
        <w:t>9.6 journées de maladie par année</w:t>
      </w:r>
    </w:p>
    <w:p w14:paraId="63103A31" w14:textId="77777777" w:rsidR="00BC31D3" w:rsidRPr="00D478EC" w:rsidRDefault="00BC31D3" w:rsidP="00D478EC">
      <w:pPr>
        <w:spacing w:after="0" w:line="240" w:lineRule="auto"/>
        <w:ind w:left="720"/>
        <w:jc w:val="both"/>
        <w:rPr>
          <w:rFonts w:ascii="Aptos" w:hAnsi="Aptos" w:cs="Calibri"/>
          <w:sz w:val="20"/>
          <w:szCs w:val="20"/>
        </w:rPr>
      </w:pPr>
    </w:p>
    <w:p w14:paraId="00955973" w14:textId="282BBDDE" w:rsidR="00BC31D3" w:rsidRPr="00D478EC" w:rsidRDefault="00D478EC" w:rsidP="00BC31D3">
      <w:pPr>
        <w:pStyle w:val="Default"/>
        <w:jc w:val="both"/>
        <w:rPr>
          <w:rFonts w:ascii="Aptos" w:hAnsi="Aptos"/>
          <w:i/>
          <w:color w:val="auto"/>
          <w:sz w:val="20"/>
          <w:szCs w:val="20"/>
        </w:rPr>
      </w:pPr>
      <w:r w:rsidRPr="00D478EC">
        <w:rPr>
          <w:rFonts w:ascii="Aptos" w:hAnsi="Aptos"/>
          <w:bCs/>
          <w:i/>
          <w:color w:val="auto"/>
          <w:sz w:val="20"/>
          <w:szCs w:val="20"/>
        </w:rPr>
        <w:t>Nous offrons</w:t>
      </w:r>
      <w:r w:rsidR="00BC31D3" w:rsidRPr="00D478EC">
        <w:rPr>
          <w:rFonts w:ascii="Aptos" w:hAnsi="Aptos"/>
          <w:i/>
          <w:color w:val="auto"/>
          <w:sz w:val="20"/>
          <w:szCs w:val="20"/>
        </w:rPr>
        <w:t xml:space="preserve"> une vaste gamme d’avantages visant la santé, le bien-être et la qualité de vie au travail des employés, dont l’accès gratuit au Centre EPIC ainsi que divers autres avantages.</w:t>
      </w:r>
    </w:p>
    <w:p w14:paraId="7C95369D" w14:textId="77777777" w:rsidR="00BC31D3" w:rsidRPr="00D478EC" w:rsidRDefault="00BC31D3" w:rsidP="00BC31D3">
      <w:pPr>
        <w:pStyle w:val="Default"/>
        <w:rPr>
          <w:rFonts w:ascii="Aptos" w:hAnsi="Aptos"/>
          <w:b/>
          <w:bCs/>
          <w:sz w:val="20"/>
          <w:szCs w:val="20"/>
        </w:rPr>
      </w:pPr>
    </w:p>
    <w:p w14:paraId="035D1AD4" w14:textId="77777777" w:rsidR="00BC31D3" w:rsidRPr="00D478EC" w:rsidRDefault="00BC31D3" w:rsidP="00BC31D3">
      <w:pPr>
        <w:pStyle w:val="Default"/>
        <w:rPr>
          <w:rFonts w:ascii="Aptos" w:hAnsi="Aptos"/>
          <w:sz w:val="20"/>
          <w:szCs w:val="20"/>
        </w:rPr>
      </w:pPr>
      <w:r w:rsidRPr="00D478EC">
        <w:rPr>
          <w:rFonts w:ascii="Aptos" w:hAnsi="Aptos"/>
          <w:b/>
          <w:bCs/>
          <w:sz w:val="20"/>
          <w:szCs w:val="20"/>
        </w:rPr>
        <w:t xml:space="preserve">POUR SOUMETTRE VOTRE CANDIDATURE </w:t>
      </w:r>
    </w:p>
    <w:p w14:paraId="25DAE459" w14:textId="005AA39A" w:rsidR="00BC31D3" w:rsidRPr="00D478EC" w:rsidRDefault="00BC31D3" w:rsidP="00BC31D3">
      <w:pPr>
        <w:pStyle w:val="Default"/>
        <w:numPr>
          <w:ilvl w:val="0"/>
          <w:numId w:val="2"/>
        </w:numPr>
        <w:jc w:val="both"/>
        <w:rPr>
          <w:rFonts w:ascii="Aptos" w:hAnsi="Aptos"/>
          <w:sz w:val="20"/>
          <w:szCs w:val="20"/>
        </w:rPr>
      </w:pPr>
      <w:r w:rsidRPr="00D478EC">
        <w:rPr>
          <w:rFonts w:ascii="Aptos" w:hAnsi="Aptos"/>
          <w:sz w:val="20"/>
          <w:szCs w:val="20"/>
        </w:rPr>
        <w:t xml:space="preserve">Date d’échéance pour postuler : </w:t>
      </w:r>
      <w:r w:rsidR="00730E03">
        <w:rPr>
          <w:rFonts w:ascii="Aptos" w:hAnsi="Aptos"/>
          <w:b/>
          <w:sz w:val="20"/>
          <w:szCs w:val="20"/>
        </w:rPr>
        <w:t>16</w:t>
      </w:r>
      <w:r w:rsidR="00F978DA">
        <w:rPr>
          <w:rFonts w:ascii="Aptos" w:hAnsi="Aptos"/>
          <w:b/>
          <w:sz w:val="20"/>
          <w:szCs w:val="20"/>
        </w:rPr>
        <w:t xml:space="preserve"> </w:t>
      </w:r>
      <w:r w:rsidR="00730E03">
        <w:rPr>
          <w:rFonts w:ascii="Aptos" w:hAnsi="Aptos"/>
          <w:b/>
          <w:sz w:val="20"/>
          <w:szCs w:val="20"/>
        </w:rPr>
        <w:t>janvier</w:t>
      </w:r>
      <w:r w:rsidRPr="00D478EC">
        <w:rPr>
          <w:rFonts w:ascii="Aptos" w:hAnsi="Aptos"/>
          <w:b/>
          <w:sz w:val="20"/>
          <w:szCs w:val="20"/>
        </w:rPr>
        <w:t xml:space="preserve"> 202</w:t>
      </w:r>
      <w:r w:rsidR="009F6003">
        <w:rPr>
          <w:rFonts w:ascii="Aptos" w:hAnsi="Aptos"/>
          <w:b/>
          <w:sz w:val="20"/>
          <w:szCs w:val="20"/>
        </w:rPr>
        <w:t>6</w:t>
      </w:r>
    </w:p>
    <w:p w14:paraId="5EFDE8A8" w14:textId="255689E8" w:rsidR="00026C98" w:rsidRDefault="00BC31D3" w:rsidP="00026C98">
      <w:pPr>
        <w:pStyle w:val="Default"/>
        <w:numPr>
          <w:ilvl w:val="0"/>
          <w:numId w:val="2"/>
        </w:numPr>
        <w:jc w:val="both"/>
        <w:rPr>
          <w:rFonts w:ascii="Aptos" w:hAnsi="Aptos"/>
          <w:sz w:val="20"/>
          <w:szCs w:val="20"/>
        </w:rPr>
      </w:pPr>
      <w:r w:rsidRPr="00D478EC">
        <w:rPr>
          <w:rFonts w:ascii="Aptos" w:hAnsi="Aptos"/>
          <w:bCs/>
          <w:color w:val="auto"/>
          <w:sz w:val="20"/>
          <w:szCs w:val="20"/>
        </w:rPr>
        <w:t xml:space="preserve">Veuillez s’il vous plait joindre </w:t>
      </w:r>
      <w:r w:rsidRPr="00D478EC">
        <w:rPr>
          <w:rFonts w:ascii="Aptos" w:hAnsi="Aptos"/>
          <w:sz w:val="20"/>
          <w:szCs w:val="20"/>
        </w:rPr>
        <w:t>votre lettre de présentation et votre curriculum vitae.</w:t>
      </w:r>
    </w:p>
    <w:p w14:paraId="6B8D82CB" w14:textId="77777777" w:rsidR="00026C98" w:rsidRDefault="00026C98" w:rsidP="00026C98">
      <w:pPr>
        <w:pStyle w:val="Default"/>
        <w:ind w:left="360"/>
        <w:jc w:val="both"/>
        <w:rPr>
          <w:rFonts w:ascii="Aptos" w:hAnsi="Aptos"/>
          <w:sz w:val="20"/>
          <w:szCs w:val="20"/>
        </w:rPr>
      </w:pPr>
    </w:p>
    <w:p w14:paraId="72FD6693" w14:textId="60D24AF9" w:rsidR="00026C98" w:rsidRPr="00026C98" w:rsidRDefault="00026C98" w:rsidP="00026C98">
      <w:pPr>
        <w:pStyle w:val="Default"/>
        <w:numPr>
          <w:ilvl w:val="0"/>
          <w:numId w:val="2"/>
        </w:numPr>
        <w:jc w:val="both"/>
        <w:rPr>
          <w:rFonts w:ascii="Aptos" w:hAnsi="Aptos"/>
          <w:sz w:val="20"/>
          <w:szCs w:val="20"/>
        </w:rPr>
      </w:pPr>
      <w:hyperlink r:id="rId7" w:history="1">
        <w:r w:rsidRPr="00026C98">
          <w:rPr>
            <w:rStyle w:val="Hyperlink"/>
            <w:rFonts w:ascii="Aptos" w:hAnsi="Aptos"/>
            <w:sz w:val="20"/>
            <w:szCs w:val="20"/>
          </w:rPr>
          <w:t>https://atlas.workland.com/work/67569/specialiste-registre-des-essais-cliniques-tmf</w:t>
        </w:r>
      </w:hyperlink>
    </w:p>
    <w:p w14:paraId="3A0E8F6F" w14:textId="77777777" w:rsidR="00BC31D3" w:rsidRPr="00D478EC" w:rsidRDefault="00BC31D3" w:rsidP="00BC31D3">
      <w:pPr>
        <w:pStyle w:val="Default"/>
        <w:rPr>
          <w:rFonts w:ascii="Aptos" w:hAnsi="Aptos"/>
          <w:sz w:val="20"/>
          <w:szCs w:val="20"/>
        </w:rPr>
      </w:pPr>
    </w:p>
    <w:p w14:paraId="5BA1754E" w14:textId="5CF280FF" w:rsidR="00BC31D3" w:rsidRPr="00D478EC" w:rsidRDefault="006B0C60" w:rsidP="00BC31D3">
      <w:pPr>
        <w:pStyle w:val="Default"/>
        <w:jc w:val="center"/>
        <w:rPr>
          <w:rFonts w:ascii="Aptos" w:hAnsi="Aptos"/>
          <w:sz w:val="20"/>
          <w:szCs w:val="20"/>
        </w:rPr>
      </w:pPr>
      <w:r w:rsidRPr="00D478EC">
        <w:rPr>
          <w:rFonts w:ascii="Aptos" w:hAnsi="Aptos"/>
          <w:bCs/>
          <w:i/>
          <w:sz w:val="20"/>
          <w:szCs w:val="20"/>
        </w:rPr>
        <w:t>Nous souscrivons</w:t>
      </w:r>
      <w:r w:rsidR="00BC31D3" w:rsidRPr="00D478EC">
        <w:rPr>
          <w:rFonts w:ascii="Aptos" w:hAnsi="Aptos"/>
          <w:sz w:val="20"/>
          <w:szCs w:val="20"/>
        </w:rPr>
        <w:t xml:space="preserve"> à un programme d’accès à l’égalité.</w:t>
      </w:r>
    </w:p>
    <w:p w14:paraId="5C1E2553" w14:textId="77777777" w:rsidR="00BC31D3" w:rsidRPr="00D478EC" w:rsidRDefault="00BC31D3" w:rsidP="00BC31D3">
      <w:pPr>
        <w:pStyle w:val="Default"/>
        <w:jc w:val="center"/>
        <w:rPr>
          <w:rFonts w:ascii="Aptos" w:hAnsi="Aptos"/>
          <w:sz w:val="20"/>
          <w:szCs w:val="20"/>
        </w:rPr>
      </w:pPr>
      <w:r w:rsidRPr="00D478EC">
        <w:rPr>
          <w:rFonts w:ascii="Aptos" w:hAnsi="Aptos"/>
          <w:sz w:val="20"/>
          <w:szCs w:val="20"/>
        </w:rPr>
        <w:t>Les candidatures des groupes visés (les femmes, les minorités visibles, les minorités ethniques,</w:t>
      </w:r>
    </w:p>
    <w:p w14:paraId="0B8AC1E3" w14:textId="77777777" w:rsidR="00BC31D3" w:rsidRPr="00D478EC" w:rsidRDefault="00BC31D3" w:rsidP="00BC31D3">
      <w:pPr>
        <w:pStyle w:val="Default"/>
        <w:jc w:val="center"/>
        <w:rPr>
          <w:rFonts w:ascii="Aptos" w:hAnsi="Aptos"/>
          <w:sz w:val="20"/>
          <w:szCs w:val="20"/>
        </w:rPr>
      </w:pPr>
      <w:r w:rsidRPr="00D478EC">
        <w:rPr>
          <w:rFonts w:ascii="Aptos" w:hAnsi="Aptos"/>
          <w:sz w:val="20"/>
          <w:szCs w:val="20"/>
        </w:rPr>
        <w:t>les Autochtones et les personnes handicapées) sont encouragées.</w:t>
      </w:r>
    </w:p>
    <w:p w14:paraId="653CE80C" w14:textId="77777777" w:rsidR="00BC31D3" w:rsidRPr="00D478EC" w:rsidRDefault="00BC31D3" w:rsidP="00BC31D3">
      <w:pPr>
        <w:pStyle w:val="Default"/>
        <w:jc w:val="center"/>
        <w:rPr>
          <w:rFonts w:ascii="Aptos" w:hAnsi="Aptos"/>
          <w:sz w:val="20"/>
          <w:szCs w:val="20"/>
        </w:rPr>
      </w:pPr>
    </w:p>
    <w:p w14:paraId="6C9EF23E" w14:textId="77777777" w:rsidR="00BC31D3" w:rsidRPr="00D478EC" w:rsidRDefault="00BC31D3" w:rsidP="00BC31D3">
      <w:pPr>
        <w:pStyle w:val="Default"/>
        <w:jc w:val="center"/>
        <w:rPr>
          <w:rFonts w:ascii="Aptos" w:hAnsi="Aptos"/>
          <w:b/>
          <w:bCs/>
          <w:sz w:val="20"/>
          <w:szCs w:val="20"/>
        </w:rPr>
      </w:pPr>
      <w:r w:rsidRPr="00D478EC">
        <w:rPr>
          <w:rFonts w:ascii="Aptos" w:hAnsi="Aptos"/>
          <w:b/>
          <w:bCs/>
          <w:sz w:val="20"/>
          <w:szCs w:val="20"/>
        </w:rPr>
        <w:t>Nous remercions toutes les personnes qui déposeront leur candidature sur ce poste.  Prendre note que nous contacteront uniquement les personnes retenues dans le cadre du processus de sélection.</w:t>
      </w:r>
    </w:p>
    <w:p w14:paraId="38FBC6D5" w14:textId="77777777" w:rsidR="00BC31D3" w:rsidRPr="00D478EC" w:rsidRDefault="00BC31D3">
      <w:pPr>
        <w:rPr>
          <w:rFonts w:ascii="Aptos" w:hAnsi="Aptos"/>
          <w:b/>
          <w:bCs/>
          <w:sz w:val="20"/>
          <w:szCs w:val="20"/>
        </w:rPr>
      </w:pPr>
    </w:p>
    <w:p w14:paraId="27B6E04E" w14:textId="134E2EE6" w:rsidR="00D478EC" w:rsidRPr="00D478EC" w:rsidRDefault="00D478EC" w:rsidP="00D478EC">
      <w:pPr>
        <w:jc w:val="center"/>
        <w:rPr>
          <w:rFonts w:ascii="Aptos" w:hAnsi="Aptos"/>
          <w:b/>
          <w:bCs/>
          <w:sz w:val="20"/>
          <w:szCs w:val="20"/>
        </w:rPr>
      </w:pPr>
      <w:r w:rsidRPr="00D478EC">
        <w:rPr>
          <w:rFonts w:ascii="Aptos" w:hAnsi="Aptos"/>
          <w:b/>
          <w:bCs/>
          <w:sz w:val="20"/>
          <w:szCs w:val="20"/>
        </w:rPr>
        <w:t>Visite</w:t>
      </w:r>
      <w:r>
        <w:rPr>
          <w:rFonts w:ascii="Aptos" w:hAnsi="Aptos"/>
          <w:b/>
          <w:bCs/>
          <w:sz w:val="20"/>
          <w:szCs w:val="20"/>
        </w:rPr>
        <w:t>z</w:t>
      </w:r>
      <w:r w:rsidRPr="00D478EC">
        <w:rPr>
          <w:rFonts w:ascii="Aptos" w:hAnsi="Aptos"/>
          <w:b/>
          <w:bCs/>
          <w:sz w:val="20"/>
          <w:szCs w:val="20"/>
        </w:rPr>
        <w:t xml:space="preserve"> notre site Web : www.seriant.org</w:t>
      </w:r>
    </w:p>
    <w:sectPr w:rsidR="00D478EC" w:rsidRPr="00D478EC" w:rsidSect="00BC31D3">
      <w:headerReference w:type="default" r:id="rId8"/>
      <w:footerReference w:type="default" r:id="rId9"/>
      <w:pgSz w:w="12240" w:h="16340"/>
      <w:pgMar w:top="955" w:right="1079" w:bottom="972" w:left="123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B987" w14:textId="77777777" w:rsidR="001501A0" w:rsidRDefault="001501A0">
      <w:pPr>
        <w:spacing w:after="0" w:line="240" w:lineRule="auto"/>
      </w:pPr>
      <w:r>
        <w:separator/>
      </w:r>
    </w:p>
  </w:endnote>
  <w:endnote w:type="continuationSeparator" w:id="0">
    <w:p w14:paraId="0CEA9253" w14:textId="77777777" w:rsidR="001501A0" w:rsidRDefault="0015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63E5" w14:textId="1624B6E7" w:rsidR="006B0C60" w:rsidRDefault="006B0C60">
    <w:pPr>
      <w:pStyle w:val="Footer"/>
    </w:pPr>
    <w:r w:rsidRPr="00D02688">
      <w:rPr>
        <w:noProof/>
      </w:rPr>
      <w:drawing>
        <wp:inline distT="0" distB="0" distL="0" distR="0" wp14:anchorId="198980DB" wp14:editId="4B21093B">
          <wp:extent cx="1862455" cy="516255"/>
          <wp:effectExtent l="0" t="0" r="4445" b="4445"/>
          <wp:docPr id="5" name="Image 5"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55" cy="5162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2EE2" w14:textId="77777777" w:rsidR="001501A0" w:rsidRDefault="001501A0">
      <w:pPr>
        <w:spacing w:after="0" w:line="240" w:lineRule="auto"/>
      </w:pPr>
      <w:r>
        <w:separator/>
      </w:r>
    </w:p>
  </w:footnote>
  <w:footnote w:type="continuationSeparator" w:id="0">
    <w:p w14:paraId="068E4A62" w14:textId="77777777" w:rsidR="001501A0" w:rsidRDefault="00150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2538" w14:textId="77777777" w:rsidR="00BC31D3" w:rsidRDefault="00BC31D3">
    <w:pPr>
      <w:pStyle w:val="Header"/>
    </w:pPr>
    <w:r>
      <w:rPr>
        <w:noProof/>
      </w:rPr>
      <w:drawing>
        <wp:inline distT="0" distB="0" distL="0" distR="0" wp14:anchorId="0981A58D" wp14:editId="4DB8B969">
          <wp:extent cx="3073400" cy="10223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7E1C"/>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BEA7907"/>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945612"/>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71004C2"/>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91E41F6"/>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7511133">
    <w:abstractNumId w:val="2"/>
  </w:num>
  <w:num w:numId="2" w16cid:durableId="1504471584">
    <w:abstractNumId w:val="0"/>
  </w:num>
  <w:num w:numId="3" w16cid:durableId="1283196955">
    <w:abstractNumId w:val="4"/>
  </w:num>
  <w:num w:numId="4" w16cid:durableId="350423290">
    <w:abstractNumId w:val="3"/>
  </w:num>
  <w:num w:numId="5" w16cid:durableId="36659907">
    <w:abstractNumId w:val="1"/>
  </w:num>
  <w:num w:numId="6" w16cid:durableId="212206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D3"/>
    <w:rsid w:val="00026C98"/>
    <w:rsid w:val="001501A0"/>
    <w:rsid w:val="0015136A"/>
    <w:rsid w:val="001C4F75"/>
    <w:rsid w:val="001E0017"/>
    <w:rsid w:val="00275600"/>
    <w:rsid w:val="00326D8A"/>
    <w:rsid w:val="00344428"/>
    <w:rsid w:val="003B5508"/>
    <w:rsid w:val="00405F94"/>
    <w:rsid w:val="004A0D8C"/>
    <w:rsid w:val="005B4131"/>
    <w:rsid w:val="005D523D"/>
    <w:rsid w:val="006728A2"/>
    <w:rsid w:val="006B0C60"/>
    <w:rsid w:val="006D12A6"/>
    <w:rsid w:val="00730E03"/>
    <w:rsid w:val="0076337A"/>
    <w:rsid w:val="007B7FFB"/>
    <w:rsid w:val="0086105F"/>
    <w:rsid w:val="00861C11"/>
    <w:rsid w:val="00891021"/>
    <w:rsid w:val="008A6B1B"/>
    <w:rsid w:val="008C2335"/>
    <w:rsid w:val="008E12BE"/>
    <w:rsid w:val="00910422"/>
    <w:rsid w:val="00973992"/>
    <w:rsid w:val="009F6003"/>
    <w:rsid w:val="00B830EE"/>
    <w:rsid w:val="00BC31D3"/>
    <w:rsid w:val="00C50260"/>
    <w:rsid w:val="00C74DB8"/>
    <w:rsid w:val="00D478EC"/>
    <w:rsid w:val="00E34431"/>
    <w:rsid w:val="00E80EDE"/>
    <w:rsid w:val="00E83751"/>
    <w:rsid w:val="00F978DA"/>
    <w:rsid w:val="00FD6C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A531"/>
  <w15:chartTrackingRefBased/>
  <w15:docId w15:val="{A8B88D2A-66ED-482E-8730-A3D30C91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D3"/>
    <w:rPr>
      <w:rFonts w:eastAsiaTheme="minorEastAsia" w:cs="Times New Roman"/>
      <w:kern w:val="0"/>
      <w:lang w:val="fr-CA" w:eastAsia="fr-CA"/>
      <w14:ligatures w14:val="none"/>
    </w:rPr>
  </w:style>
  <w:style w:type="paragraph" w:styleId="Heading1">
    <w:name w:val="heading 1"/>
    <w:basedOn w:val="Normal"/>
    <w:next w:val="Normal"/>
    <w:link w:val="Heading1Char"/>
    <w:uiPriority w:val="9"/>
    <w:qFormat/>
    <w:rsid w:val="00BC31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31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31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31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31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3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31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31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31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C31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C3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D3"/>
    <w:rPr>
      <w:rFonts w:eastAsiaTheme="majorEastAsia" w:cstheme="majorBidi"/>
      <w:color w:val="272727" w:themeColor="text1" w:themeTint="D8"/>
    </w:rPr>
  </w:style>
  <w:style w:type="paragraph" w:styleId="Title">
    <w:name w:val="Title"/>
    <w:basedOn w:val="Normal"/>
    <w:next w:val="Normal"/>
    <w:link w:val="TitleChar"/>
    <w:uiPriority w:val="10"/>
    <w:qFormat/>
    <w:rsid w:val="00BC3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D3"/>
    <w:pPr>
      <w:spacing w:before="160"/>
      <w:jc w:val="center"/>
    </w:pPr>
    <w:rPr>
      <w:i/>
      <w:iCs/>
      <w:color w:val="404040" w:themeColor="text1" w:themeTint="BF"/>
    </w:rPr>
  </w:style>
  <w:style w:type="character" w:customStyle="1" w:styleId="QuoteChar">
    <w:name w:val="Quote Char"/>
    <w:basedOn w:val="DefaultParagraphFont"/>
    <w:link w:val="Quote"/>
    <w:uiPriority w:val="29"/>
    <w:rsid w:val="00BC31D3"/>
    <w:rPr>
      <w:i/>
      <w:iCs/>
      <w:color w:val="404040" w:themeColor="text1" w:themeTint="BF"/>
    </w:rPr>
  </w:style>
  <w:style w:type="paragraph" w:styleId="ListParagraph">
    <w:name w:val="List Paragraph"/>
    <w:basedOn w:val="Normal"/>
    <w:uiPriority w:val="34"/>
    <w:qFormat/>
    <w:rsid w:val="00BC31D3"/>
    <w:pPr>
      <w:ind w:left="720"/>
      <w:contextualSpacing/>
    </w:pPr>
  </w:style>
  <w:style w:type="character" w:styleId="IntenseEmphasis">
    <w:name w:val="Intense Emphasis"/>
    <w:basedOn w:val="DefaultParagraphFont"/>
    <w:uiPriority w:val="21"/>
    <w:qFormat/>
    <w:rsid w:val="00BC31D3"/>
    <w:rPr>
      <w:i/>
      <w:iCs/>
      <w:color w:val="2E74B5" w:themeColor="accent1" w:themeShade="BF"/>
    </w:rPr>
  </w:style>
  <w:style w:type="paragraph" w:styleId="IntenseQuote">
    <w:name w:val="Intense Quote"/>
    <w:basedOn w:val="Normal"/>
    <w:next w:val="Normal"/>
    <w:link w:val="IntenseQuoteChar"/>
    <w:uiPriority w:val="30"/>
    <w:qFormat/>
    <w:rsid w:val="00BC31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31D3"/>
    <w:rPr>
      <w:i/>
      <w:iCs/>
      <w:color w:val="2E74B5" w:themeColor="accent1" w:themeShade="BF"/>
    </w:rPr>
  </w:style>
  <w:style w:type="character" w:styleId="IntenseReference">
    <w:name w:val="Intense Reference"/>
    <w:basedOn w:val="DefaultParagraphFont"/>
    <w:uiPriority w:val="32"/>
    <w:qFormat/>
    <w:rsid w:val="00BC31D3"/>
    <w:rPr>
      <w:b/>
      <w:bCs/>
      <w:smallCaps/>
      <w:color w:val="2E74B5" w:themeColor="accent1" w:themeShade="BF"/>
      <w:spacing w:val="5"/>
    </w:rPr>
  </w:style>
  <w:style w:type="paragraph" w:customStyle="1" w:styleId="Default">
    <w:name w:val="Default"/>
    <w:rsid w:val="00BC31D3"/>
    <w:pPr>
      <w:widowControl w:val="0"/>
      <w:autoSpaceDE w:val="0"/>
      <w:autoSpaceDN w:val="0"/>
      <w:adjustRightInd w:val="0"/>
      <w:spacing w:after="0" w:line="240" w:lineRule="auto"/>
    </w:pPr>
    <w:rPr>
      <w:rFonts w:ascii="Calibri" w:eastAsiaTheme="minorEastAsia" w:hAnsi="Calibri" w:cs="Calibri"/>
      <w:color w:val="000000"/>
      <w:kern w:val="0"/>
      <w:sz w:val="24"/>
      <w:szCs w:val="24"/>
      <w:lang w:val="fr-CA" w:eastAsia="fr-CA"/>
      <w14:ligatures w14:val="none"/>
    </w:rPr>
  </w:style>
  <w:style w:type="paragraph" w:styleId="Header">
    <w:name w:val="header"/>
    <w:basedOn w:val="Normal"/>
    <w:link w:val="HeaderChar"/>
    <w:uiPriority w:val="99"/>
    <w:unhideWhenUsed/>
    <w:rsid w:val="00BC31D3"/>
    <w:pPr>
      <w:tabs>
        <w:tab w:val="center" w:pos="4320"/>
        <w:tab w:val="right" w:pos="8640"/>
      </w:tabs>
    </w:pPr>
  </w:style>
  <w:style w:type="character" w:customStyle="1" w:styleId="HeaderChar">
    <w:name w:val="Header Char"/>
    <w:basedOn w:val="DefaultParagraphFont"/>
    <w:link w:val="Header"/>
    <w:uiPriority w:val="99"/>
    <w:rsid w:val="00BC31D3"/>
    <w:rPr>
      <w:rFonts w:eastAsiaTheme="minorEastAsia" w:cs="Times New Roman"/>
      <w:kern w:val="0"/>
      <w:lang w:val="fr-CA" w:eastAsia="fr-CA"/>
      <w14:ligatures w14:val="none"/>
    </w:rPr>
  </w:style>
  <w:style w:type="paragraph" w:styleId="Footer">
    <w:name w:val="footer"/>
    <w:basedOn w:val="Normal"/>
    <w:link w:val="FooterChar"/>
    <w:uiPriority w:val="99"/>
    <w:unhideWhenUsed/>
    <w:rsid w:val="006B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C60"/>
    <w:rPr>
      <w:rFonts w:eastAsiaTheme="minorEastAsia" w:cs="Times New Roman"/>
      <w:kern w:val="0"/>
      <w:lang w:val="fr-CA" w:eastAsia="fr-CA"/>
      <w14:ligatures w14:val="none"/>
    </w:rPr>
  </w:style>
  <w:style w:type="character" w:customStyle="1" w:styleId="cf01">
    <w:name w:val="cf01"/>
    <w:basedOn w:val="DefaultParagraphFont"/>
    <w:rsid w:val="006B0C60"/>
    <w:rPr>
      <w:rFonts w:ascii="Consolas" w:hAnsi="Consolas" w:hint="default"/>
      <w:sz w:val="22"/>
      <w:szCs w:val="22"/>
    </w:rPr>
  </w:style>
  <w:style w:type="character" w:styleId="Hyperlink">
    <w:name w:val="Hyperlink"/>
    <w:basedOn w:val="DefaultParagraphFont"/>
    <w:uiPriority w:val="99"/>
    <w:unhideWhenUsed/>
    <w:rsid w:val="003B5508"/>
    <w:rPr>
      <w:color w:val="0563C1" w:themeColor="hyperlink"/>
      <w:u w:val="single"/>
    </w:rPr>
  </w:style>
  <w:style w:type="character" w:styleId="UnresolvedMention">
    <w:name w:val="Unresolved Mention"/>
    <w:basedOn w:val="DefaultParagraphFont"/>
    <w:uiPriority w:val="99"/>
    <w:semiHidden/>
    <w:unhideWhenUsed/>
    <w:rsid w:val="003B5508"/>
    <w:rPr>
      <w:color w:val="605E5C"/>
      <w:shd w:val="clear" w:color="auto" w:fill="E1DFDD"/>
    </w:rPr>
  </w:style>
  <w:style w:type="character" w:styleId="FollowedHyperlink">
    <w:name w:val="FollowedHyperlink"/>
    <w:basedOn w:val="DefaultParagraphFont"/>
    <w:uiPriority w:val="99"/>
    <w:semiHidden/>
    <w:unhideWhenUsed/>
    <w:rsid w:val="004A0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tlas.workland.com/work/67569/specialiste-registre-des-essais-cliniques-tm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4927</Characters>
  <Application>Microsoft Office Word</Application>
  <DocSecurity>0</DocSecurity>
  <Lines>109</Lines>
  <Paragraphs>74</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Bannon</dc:creator>
  <cp:keywords/>
  <dc:description/>
  <cp:lastModifiedBy>Tania Discenza</cp:lastModifiedBy>
  <cp:revision>4</cp:revision>
  <dcterms:created xsi:type="dcterms:W3CDTF">2025-12-15T15:10:00Z</dcterms:created>
  <dcterms:modified xsi:type="dcterms:W3CDTF">2025-12-15T15:12:00Z</dcterms:modified>
</cp:coreProperties>
</file>